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1D" w:rsidRPr="00B26895" w:rsidRDefault="009B091D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9B091D">
        <w:rPr>
          <w:rFonts w:ascii="Arial Narrow" w:hAnsi="Arial Narrow"/>
          <w:b/>
          <w:sz w:val="28"/>
          <w:szCs w:val="28"/>
          <w:u w:val="single"/>
        </w:rPr>
        <w:t xml:space="preserve">Erläuterungen zum Ausfüllen des </w:t>
      </w:r>
      <w:r w:rsidR="00B26895" w:rsidRPr="00B26895">
        <w:rPr>
          <w:rFonts w:ascii="Arial Narrow" w:hAnsi="Arial Narrow"/>
          <w:b/>
          <w:sz w:val="28"/>
          <w:szCs w:val="28"/>
          <w:u w:val="single"/>
        </w:rPr>
        <w:t>Verwendungsnachweis</w:t>
      </w:r>
      <w:r w:rsidR="00B26895">
        <w:rPr>
          <w:rFonts w:ascii="Arial Narrow" w:hAnsi="Arial Narrow"/>
          <w:b/>
          <w:sz w:val="28"/>
          <w:szCs w:val="28"/>
          <w:u w:val="single"/>
        </w:rPr>
        <w:t>es</w:t>
      </w:r>
      <w:r w:rsidR="00B26895" w:rsidRPr="00B26895">
        <w:rPr>
          <w:rFonts w:ascii="Arial Narrow" w:hAnsi="Arial Narrow"/>
          <w:b/>
          <w:sz w:val="28"/>
          <w:szCs w:val="28"/>
          <w:u w:val="single"/>
        </w:rPr>
        <w:t xml:space="preserve"> zur Schlussabrechnung</w:t>
      </w:r>
    </w:p>
    <w:p w:rsidR="009B091D" w:rsidRDefault="009B091D">
      <w:pPr>
        <w:rPr>
          <w:rFonts w:ascii="Arial Narrow" w:hAnsi="Arial Narrow"/>
        </w:rPr>
      </w:pPr>
    </w:p>
    <w:p w:rsidR="009D1874" w:rsidRDefault="009D1874">
      <w:pPr>
        <w:rPr>
          <w:rFonts w:ascii="Arial Narrow" w:hAnsi="Arial Narrow"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9844"/>
      </w:tblGrid>
      <w:tr w:rsidR="00753892" w:rsidRPr="00AF59B5" w:rsidTr="00F17AC4">
        <w:trPr>
          <w:trHeight w:val="255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892" w:rsidRPr="00C03D5C" w:rsidRDefault="00753892" w:rsidP="0075389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3892" w:rsidRPr="00AF59B5" w:rsidRDefault="00753892" w:rsidP="0075389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AF59B5">
              <w:rPr>
                <w:rFonts w:ascii="Arial Narrow" w:hAnsi="Arial Narrow"/>
                <w:b/>
                <w:sz w:val="32"/>
                <w:szCs w:val="32"/>
              </w:rPr>
              <w:t>Feldbezeichnung</w:t>
            </w:r>
          </w:p>
          <w:p w:rsidR="00753892" w:rsidRPr="00C03D5C" w:rsidRDefault="00753892" w:rsidP="0075389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892" w:rsidRPr="00AF59B5" w:rsidRDefault="00753892" w:rsidP="00E0249F">
            <w:pPr>
              <w:tabs>
                <w:tab w:val="left" w:pos="4400"/>
              </w:tabs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AF59B5">
              <w:rPr>
                <w:rFonts w:ascii="Arial Narrow" w:hAnsi="Arial Narrow"/>
                <w:b/>
                <w:sz w:val="32"/>
                <w:szCs w:val="32"/>
              </w:rPr>
              <w:t>Anmerkungen / Erläuterungen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753892" w:rsidRPr="00AF59B5" w:rsidRDefault="00753892" w:rsidP="00E062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F59B5">
              <w:rPr>
                <w:rFonts w:ascii="Arial Narrow" w:hAnsi="Arial Narrow"/>
                <w:b/>
                <w:bCs/>
                <w:sz w:val="28"/>
                <w:szCs w:val="28"/>
              </w:rPr>
              <w:t>A. Zuwendungsempfänger</w:t>
            </w:r>
          </w:p>
        </w:tc>
        <w:tc>
          <w:tcPr>
            <w:tcW w:w="9844" w:type="dxa"/>
            <w:shd w:val="clear" w:color="auto" w:fill="C0C0C0"/>
          </w:tcPr>
          <w:p w:rsidR="00753892" w:rsidRPr="00753892" w:rsidRDefault="00753892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Kontaktdaten der Kommune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753892" w:rsidRPr="00AF59B5" w:rsidRDefault="00753892" w:rsidP="00E0622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F59B5">
              <w:rPr>
                <w:rFonts w:ascii="Arial Narrow" w:hAnsi="Arial Narrow"/>
                <w:b/>
                <w:bCs/>
                <w:sz w:val="28"/>
                <w:szCs w:val="28"/>
              </w:rPr>
              <w:t>B. Abzurechnende Maßnahme</w:t>
            </w:r>
          </w:p>
        </w:tc>
        <w:tc>
          <w:tcPr>
            <w:tcW w:w="9844" w:type="dxa"/>
            <w:shd w:val="clear" w:color="auto" w:fill="C0C0C0"/>
            <w:noWrap/>
          </w:tcPr>
          <w:p w:rsidR="00753892" w:rsidRPr="00753892" w:rsidRDefault="00753892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Grunddaten der Gesamtmaßnahme</w:t>
            </w:r>
            <w:r w:rsidRPr="00753892">
              <w:rPr>
                <w:rFonts w:ascii="Arial Narrow" w:hAnsi="Arial Narrow"/>
              </w:rPr>
              <w:t> 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753892" w:rsidRPr="00AF59B5" w:rsidRDefault="00753892" w:rsidP="00E0622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F59B5">
              <w:rPr>
                <w:rFonts w:ascii="Arial Narrow" w:hAnsi="Arial Narrow"/>
                <w:b/>
                <w:bCs/>
                <w:sz w:val="28"/>
                <w:szCs w:val="28"/>
              </w:rPr>
              <w:t>C. Einnahmen</w:t>
            </w:r>
          </w:p>
        </w:tc>
        <w:tc>
          <w:tcPr>
            <w:tcW w:w="9844" w:type="dxa"/>
            <w:shd w:val="clear" w:color="auto" w:fill="C0C0C0"/>
            <w:noWrap/>
          </w:tcPr>
          <w:p w:rsidR="00753892" w:rsidRPr="00753892" w:rsidRDefault="00753892" w:rsidP="00E0249F">
            <w:pPr>
              <w:jc w:val="both"/>
              <w:rPr>
                <w:rFonts w:ascii="Arial Narrow" w:hAnsi="Arial Narrow"/>
              </w:rPr>
            </w:pPr>
            <w:r w:rsidRPr="00753892">
              <w:rPr>
                <w:rFonts w:ascii="Arial Narrow" w:hAnsi="Arial Narrow"/>
              </w:rPr>
              <w:t> 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vereinnahmte Zuwendungen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753892" w:rsidP="008D460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der Gesamtmaßnahme </w:t>
            </w:r>
            <w:r w:rsidR="008D460E">
              <w:rPr>
                <w:rFonts w:ascii="Arial Narrow" w:hAnsi="Arial Narrow"/>
              </w:rPr>
              <w:t xml:space="preserve">eingesetzte </w:t>
            </w:r>
            <w:r>
              <w:rPr>
                <w:rFonts w:ascii="Arial Narrow" w:hAnsi="Arial Narrow"/>
              </w:rPr>
              <w:t>Bundes- und Landesmittel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Kommunaler Mitleistungsanteil (KMA)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D81DEA" w:rsidRDefault="002250CF" w:rsidP="00E0249F">
            <w:pPr>
              <w:jc w:val="both"/>
              <w:rPr>
                <w:rFonts w:ascii="Arial Narrow" w:hAnsi="Arial Narrow"/>
              </w:rPr>
            </w:pPr>
            <w:r w:rsidRPr="00D81DEA">
              <w:rPr>
                <w:rFonts w:ascii="Arial Narrow" w:hAnsi="Arial Narrow"/>
              </w:rPr>
              <w:t xml:space="preserve">Eigenanteil der Gemeinde </w:t>
            </w:r>
            <w:r w:rsidR="00673D41" w:rsidRPr="00D81DEA">
              <w:rPr>
                <w:rFonts w:ascii="Arial Narrow" w:hAnsi="Arial Narrow"/>
              </w:rPr>
              <w:t>zur vereinnahmten Zuwendung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eingestellte Zinsforderungen des Landes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D81DEA" w:rsidRDefault="00EE6824" w:rsidP="00F60C2B">
            <w:pPr>
              <w:jc w:val="both"/>
              <w:rPr>
                <w:rFonts w:ascii="Arial Narrow" w:hAnsi="Arial Narrow"/>
              </w:rPr>
            </w:pPr>
            <w:r w:rsidRPr="00D81DEA">
              <w:rPr>
                <w:rFonts w:ascii="Arial Narrow" w:hAnsi="Arial Narrow"/>
              </w:rPr>
              <w:t xml:space="preserve">Zinsforderungen </w:t>
            </w:r>
            <w:r w:rsidR="00492BE4" w:rsidRPr="00D81DEA">
              <w:rPr>
                <w:rFonts w:ascii="Arial Narrow" w:hAnsi="Arial Narrow"/>
              </w:rPr>
              <w:t>auf der Grundlage von § 1 Abs. 1 VwVfGBbg i.V.m.</w:t>
            </w:r>
            <w:r w:rsidR="00595341" w:rsidRPr="00D81DEA">
              <w:rPr>
                <w:rFonts w:ascii="Arial Narrow" w:hAnsi="Arial Narrow"/>
              </w:rPr>
              <w:t xml:space="preserve"> </w:t>
            </w:r>
            <w:r w:rsidRPr="00D81DEA">
              <w:rPr>
                <w:rFonts w:ascii="Arial Narrow" w:hAnsi="Arial Narrow"/>
              </w:rPr>
              <w:t xml:space="preserve">§ 49a Abs. 3 und 4 VwVfG, </w:t>
            </w:r>
            <w:r w:rsidR="00673D41" w:rsidRPr="00D81DEA">
              <w:rPr>
                <w:rFonts w:ascii="Arial Narrow" w:hAnsi="Arial Narrow"/>
              </w:rPr>
              <w:t>die in die Gesamtmaßnahme eingestellt wurden</w:t>
            </w:r>
            <w:r w:rsidR="007A13A4">
              <w:rPr>
                <w:rFonts w:ascii="Arial Narrow" w:hAnsi="Arial Narrow"/>
              </w:rPr>
              <w:t>.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dazugehöriger KMA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D81DEA" w:rsidRDefault="002250CF" w:rsidP="00E0249F">
            <w:pPr>
              <w:jc w:val="both"/>
              <w:rPr>
                <w:rFonts w:ascii="Arial Narrow" w:hAnsi="Arial Narrow"/>
              </w:rPr>
            </w:pPr>
            <w:r w:rsidRPr="00D81DEA">
              <w:rPr>
                <w:rFonts w:ascii="Arial Narrow" w:hAnsi="Arial Narrow"/>
              </w:rPr>
              <w:t>Eigenanteil der Gemeinde zur Zinsforderung</w:t>
            </w:r>
          </w:p>
        </w:tc>
      </w:tr>
      <w:tr w:rsidR="00976507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976507" w:rsidRPr="006135FB" w:rsidRDefault="00976507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Ausgleichsbeträge</w:t>
            </w:r>
          </w:p>
        </w:tc>
        <w:tc>
          <w:tcPr>
            <w:tcW w:w="9844" w:type="dxa"/>
            <w:shd w:val="clear" w:color="auto" w:fill="auto"/>
            <w:noWrap/>
          </w:tcPr>
          <w:p w:rsidR="00976507" w:rsidRDefault="00492BE4" w:rsidP="00E0249F">
            <w:pPr>
              <w:jc w:val="both"/>
              <w:rPr>
                <w:rFonts w:ascii="Arial Narrow" w:hAnsi="Arial Narrow"/>
              </w:rPr>
            </w:pPr>
            <w:r w:rsidRPr="00FE5E64">
              <w:rPr>
                <w:rFonts w:ascii="Arial Narrow" w:hAnsi="Arial Narrow"/>
              </w:rPr>
              <w:t xml:space="preserve">ins Sonder-/ Treuhandvermögen </w:t>
            </w:r>
            <w:r w:rsidR="00976507" w:rsidRPr="00FE5E64">
              <w:rPr>
                <w:rFonts w:ascii="Arial Narrow" w:hAnsi="Arial Narrow"/>
              </w:rPr>
              <w:t>vereinnahmte</w:t>
            </w:r>
            <w:r w:rsidR="00976507">
              <w:rPr>
                <w:rFonts w:ascii="Arial Narrow" w:hAnsi="Arial Narrow"/>
              </w:rPr>
              <w:t xml:space="preserve"> Ausgleichsbeträge nach § 154 BauGB bis zur Aufhebung der Sanierungssatzung</w:t>
            </w:r>
            <w:r w:rsidR="007A13A4">
              <w:rPr>
                <w:rFonts w:ascii="Arial Narrow" w:hAnsi="Arial Narrow"/>
              </w:rPr>
              <w:t>/ Entwicklungssatzung</w:t>
            </w:r>
            <w:r w:rsidR="00D01B51">
              <w:rPr>
                <w:rFonts w:ascii="Arial Narrow" w:hAnsi="Arial Narrow"/>
              </w:rPr>
              <w:t xml:space="preserve"> bzw. bis zum Abschluss der Gesamtmaßnahme</w:t>
            </w:r>
          </w:p>
          <w:p w:rsidR="00A80839" w:rsidRPr="00753892" w:rsidRDefault="00A80839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Gemäß Nr. 14.6.2 der </w:t>
            </w:r>
            <w:r w:rsidRPr="000C7E94">
              <w:rPr>
                <w:rFonts w:ascii="Arial Narrow" w:hAnsi="Arial Narrow"/>
              </w:rPr>
              <w:t>StBauFR 2009 – Fortschreibung 2012</w:t>
            </w:r>
            <w:r>
              <w:rPr>
                <w:rFonts w:ascii="Arial Narrow" w:hAnsi="Arial Narrow"/>
              </w:rPr>
              <w:t xml:space="preserve"> ist bei Nichterhebung aufgrund § 155 Abs. 3 und 4 BauGB oder bei Gewährung eines Abschlages bei vorzeitiger Ablöse eine Begründung der Abrechnung be</w:t>
            </w:r>
            <w:r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zufügen.</w:t>
            </w:r>
          </w:p>
        </w:tc>
      </w:tr>
      <w:tr w:rsidR="00753892" w:rsidRPr="00753892" w:rsidTr="00F17AC4">
        <w:trPr>
          <w:trHeight w:val="510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Wertsteigerung </w:t>
            </w:r>
            <w:r w:rsidR="00976507" w:rsidRPr="006135FB">
              <w:rPr>
                <w:rFonts w:ascii="Arial Narrow" w:hAnsi="Arial Narrow"/>
                <w:b/>
              </w:rPr>
              <w:t>für gemeindeeigene Grundstücke (Verkehrswert)</w:t>
            </w:r>
            <w:r w:rsidRPr="006135FB">
              <w:rPr>
                <w:rFonts w:ascii="Arial Narrow" w:hAnsi="Arial Narrow"/>
                <w:b/>
              </w:rPr>
              <w:t>, die dem Ausgleichsbeitrag entspr</w:t>
            </w:r>
            <w:r w:rsidRPr="006135FB">
              <w:rPr>
                <w:rFonts w:ascii="Arial Narrow" w:hAnsi="Arial Narrow"/>
                <w:b/>
              </w:rPr>
              <w:t>e</w:t>
            </w:r>
            <w:r w:rsidRPr="006135FB">
              <w:rPr>
                <w:rFonts w:ascii="Arial Narrow" w:hAnsi="Arial Narrow"/>
                <w:b/>
              </w:rPr>
              <w:t>chen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374675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Differenz zwischen dem Anfangs- und Endwert </w:t>
            </w:r>
            <w:r w:rsidR="00D91D44">
              <w:rPr>
                <w:rFonts w:ascii="Arial Narrow" w:hAnsi="Arial Narrow"/>
              </w:rPr>
              <w:t xml:space="preserve">eines </w:t>
            </w:r>
            <w:r w:rsidR="00976507">
              <w:rPr>
                <w:rFonts w:ascii="Arial Narrow" w:hAnsi="Arial Narrow"/>
              </w:rPr>
              <w:t>gemeindeeigenen Grundstückes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Überschüsse aus der Bewirtschaftung von Grun</w:t>
            </w:r>
            <w:r w:rsidRPr="006135FB">
              <w:rPr>
                <w:rFonts w:ascii="Arial Narrow" w:hAnsi="Arial Narrow"/>
                <w:b/>
              </w:rPr>
              <w:t>d</w:t>
            </w:r>
            <w:r w:rsidRPr="006135FB">
              <w:rPr>
                <w:rFonts w:ascii="Arial Narrow" w:hAnsi="Arial Narrow"/>
                <w:b/>
              </w:rPr>
              <w:t>stücken</w:t>
            </w:r>
            <w:r w:rsidR="009F22C5" w:rsidRPr="006135FB">
              <w:rPr>
                <w:rFonts w:ascii="Arial Narrow" w:hAnsi="Arial Narrow"/>
                <w:b/>
              </w:rPr>
              <w:t xml:space="preserve"> im Sonder-/Treuhandvermögen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753892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3C0ADE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3C0ADE" w:rsidRPr="006135FB" w:rsidRDefault="003C0ADE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Grundstückserlöse</w:t>
            </w:r>
          </w:p>
        </w:tc>
        <w:tc>
          <w:tcPr>
            <w:tcW w:w="9844" w:type="dxa"/>
            <w:shd w:val="clear" w:color="auto" w:fill="auto"/>
            <w:noWrap/>
          </w:tcPr>
          <w:p w:rsidR="003C0ADE" w:rsidRPr="00753892" w:rsidRDefault="003C0ADE" w:rsidP="00F60C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vereinnahmte Grundstückserlöse von Objekten, die sich im </w:t>
            </w:r>
            <w:r w:rsidR="00D235C1">
              <w:rPr>
                <w:rFonts w:ascii="Arial Narrow" w:hAnsi="Arial Narrow"/>
              </w:rPr>
              <w:t>Sonder-/</w:t>
            </w:r>
            <w:r>
              <w:rPr>
                <w:rFonts w:ascii="Arial Narrow" w:hAnsi="Arial Narrow"/>
              </w:rPr>
              <w:t>Treuhandvermögen befanden</w:t>
            </w:r>
            <w:r w:rsidR="00976507">
              <w:rPr>
                <w:rFonts w:ascii="Arial Narrow" w:hAnsi="Arial Narrow"/>
              </w:rPr>
              <w:t xml:space="preserve"> und an Pr</w:t>
            </w:r>
            <w:r w:rsidR="00976507">
              <w:rPr>
                <w:rFonts w:ascii="Arial Narrow" w:hAnsi="Arial Narrow"/>
              </w:rPr>
              <w:t>i</w:t>
            </w:r>
            <w:r w:rsidR="00976507">
              <w:rPr>
                <w:rFonts w:ascii="Arial Narrow" w:hAnsi="Arial Narrow"/>
              </w:rPr>
              <w:t>vat verkauft wurden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Zinserträge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9F22C5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mit der Gesamtmaßnahme im Zus</w:t>
            </w:r>
            <w:r w:rsidR="00D95B05">
              <w:rPr>
                <w:rFonts w:ascii="Arial Narrow" w:hAnsi="Arial Narrow"/>
              </w:rPr>
              <w:t>ammenhang stehenden Zinserträge,</w:t>
            </w:r>
            <w:r w:rsidR="00D95B05" w:rsidRPr="00753892">
              <w:rPr>
                <w:rFonts w:ascii="Arial Narrow" w:hAnsi="Arial Narrow"/>
              </w:rPr>
              <w:t xml:space="preserve"> z.B. </w:t>
            </w:r>
            <w:r w:rsidR="00673D41">
              <w:rPr>
                <w:rFonts w:ascii="Arial Narrow" w:hAnsi="Arial Narrow"/>
              </w:rPr>
              <w:t xml:space="preserve">erwirtschaftete </w:t>
            </w:r>
            <w:r w:rsidR="00D95B05" w:rsidRPr="00753892">
              <w:rPr>
                <w:rFonts w:ascii="Arial Narrow" w:hAnsi="Arial Narrow"/>
              </w:rPr>
              <w:t xml:space="preserve">Zinsen des </w:t>
            </w:r>
            <w:r w:rsidR="00D95B05">
              <w:rPr>
                <w:rFonts w:ascii="Arial Narrow" w:hAnsi="Arial Narrow"/>
              </w:rPr>
              <w:t>Sonder/-</w:t>
            </w:r>
            <w:r w:rsidR="00D95B05" w:rsidRPr="00753892">
              <w:rPr>
                <w:rFonts w:ascii="Arial Narrow" w:hAnsi="Arial Narrow"/>
              </w:rPr>
              <w:t>Treuhandkontos, Erbbauzinsen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Rückflüsse (Zinsen und Tilgung) aus Darlehen der Gemeinde an Dritte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5213F5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betrifft </w:t>
            </w:r>
            <w:r w:rsidR="00976507">
              <w:rPr>
                <w:rFonts w:ascii="Arial Narrow" w:hAnsi="Arial Narrow"/>
              </w:rPr>
              <w:t>über</w:t>
            </w:r>
            <w:r>
              <w:rPr>
                <w:rFonts w:ascii="Arial Narrow" w:hAnsi="Arial Narrow"/>
              </w:rPr>
              <w:t>wiegend die Entwicklungsmaßnahmen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Ersetzung der Vor- und Zwischenfinanzierung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B87689" w:rsidRDefault="00753892" w:rsidP="00E0249F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8834ED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8834ED" w:rsidRPr="003C0ADE" w:rsidRDefault="008834ED" w:rsidP="00E06227">
            <w:pPr>
              <w:rPr>
                <w:rFonts w:ascii="Arial Narrow" w:hAnsi="Arial Narrow"/>
                <w:b/>
              </w:rPr>
            </w:pPr>
            <w:r w:rsidRPr="003C0ADE">
              <w:rPr>
                <w:rFonts w:ascii="Arial Narrow" w:hAnsi="Arial Narrow"/>
                <w:b/>
              </w:rPr>
              <w:lastRenderedPageBreak/>
              <w:t>soweit nicht bei den Ausgaben der Einzelvorhaben berücksichtigt</w:t>
            </w:r>
            <w:r w:rsidR="00C16CF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9844" w:type="dxa"/>
            <w:shd w:val="clear" w:color="auto" w:fill="auto"/>
            <w:noWrap/>
          </w:tcPr>
          <w:p w:rsidR="008834ED" w:rsidRPr="00753892" w:rsidRDefault="008834ED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8834ED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8834ED" w:rsidRPr="006135FB" w:rsidRDefault="008834ED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Ablösebeträge</w:t>
            </w:r>
          </w:p>
        </w:tc>
        <w:tc>
          <w:tcPr>
            <w:tcW w:w="9844" w:type="dxa"/>
            <w:shd w:val="clear" w:color="auto" w:fill="auto"/>
            <w:noWrap/>
          </w:tcPr>
          <w:p w:rsidR="008834ED" w:rsidRPr="00753892" w:rsidRDefault="008834ED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 vereinnahmte Stellplatzablösebeträge gemäß einer Stellplatzsatzung</w:t>
            </w:r>
          </w:p>
        </w:tc>
      </w:tr>
      <w:tr w:rsidR="008834ED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8834ED" w:rsidRPr="006135FB" w:rsidRDefault="008834ED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Beiträge nach KAG </w:t>
            </w:r>
            <w:r>
              <w:rPr>
                <w:rFonts w:ascii="Arial Narrow" w:hAnsi="Arial Narrow"/>
                <w:b/>
              </w:rPr>
              <w:t>und Erschließungsbeiträge</w:t>
            </w:r>
          </w:p>
        </w:tc>
        <w:tc>
          <w:tcPr>
            <w:tcW w:w="9844" w:type="dxa"/>
            <w:shd w:val="clear" w:color="auto" w:fill="auto"/>
            <w:noWrap/>
          </w:tcPr>
          <w:p w:rsidR="008834ED" w:rsidRPr="00753892" w:rsidRDefault="008834ED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bisher noch nicht bei den jeweiligen Vorhaben berücksichtigte KAG – Beiträge bzw. </w:t>
            </w:r>
            <w:r w:rsidRPr="007167F1">
              <w:rPr>
                <w:rFonts w:ascii="Arial Narrow" w:hAnsi="Arial Narrow"/>
              </w:rPr>
              <w:t>Erschließungsbe</w:t>
            </w:r>
            <w:r>
              <w:rPr>
                <w:rFonts w:ascii="Arial Narrow" w:hAnsi="Arial Narrow"/>
              </w:rPr>
              <w:t>i</w:t>
            </w:r>
            <w:r w:rsidRPr="007167F1">
              <w:rPr>
                <w:rFonts w:ascii="Arial Narrow" w:hAnsi="Arial Narrow"/>
              </w:rPr>
              <w:t>träge</w:t>
            </w:r>
            <w:r w:rsidR="00E0249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KAG – Umlage wird z.B. bei Erweiterung bzw. Erneuerung einer Straße und Erschließungsbeiträge bei einer Neuerschließung erhoben.</w:t>
            </w:r>
          </w:p>
        </w:tc>
      </w:tr>
      <w:tr w:rsidR="008834ED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8834ED" w:rsidRPr="006135FB" w:rsidRDefault="008834ED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Zuschüsse anderer Stellen</w:t>
            </w:r>
          </w:p>
        </w:tc>
        <w:tc>
          <w:tcPr>
            <w:tcW w:w="9844" w:type="dxa"/>
            <w:shd w:val="clear" w:color="auto" w:fill="auto"/>
            <w:noWrap/>
          </w:tcPr>
          <w:p w:rsidR="008834ED" w:rsidRPr="00753892" w:rsidRDefault="008834ED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z.B. Zuschüsse des Arbeitsamtes  </w:t>
            </w:r>
          </w:p>
        </w:tc>
      </w:tr>
      <w:tr w:rsidR="008834ED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8834ED" w:rsidRPr="006135FB" w:rsidRDefault="008834ED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Fördermittel vorhabensbezogener Sonderpr</w:t>
            </w:r>
            <w:r w:rsidRPr="006135FB">
              <w:rPr>
                <w:rFonts w:ascii="Arial Narrow" w:hAnsi="Arial Narrow"/>
                <w:b/>
              </w:rPr>
              <w:t>o</w:t>
            </w:r>
            <w:r w:rsidRPr="006135FB">
              <w:rPr>
                <w:rFonts w:ascii="Arial Narrow" w:hAnsi="Arial Narrow"/>
                <w:b/>
              </w:rPr>
              <w:t>gramme der Städtebauförderung</w:t>
            </w:r>
          </w:p>
        </w:tc>
        <w:tc>
          <w:tcPr>
            <w:tcW w:w="9844" w:type="dxa"/>
            <w:shd w:val="clear" w:color="auto" w:fill="auto"/>
            <w:noWrap/>
          </w:tcPr>
          <w:p w:rsidR="008834ED" w:rsidRPr="00753892" w:rsidRDefault="008834ED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z.B. EU-Fördermittel </w:t>
            </w: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sonstige Einnahmen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753892" w:rsidRDefault="00753892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976507" w:rsidRPr="00753892" w:rsidTr="00F17AC4">
        <w:trPr>
          <w:trHeight w:val="405"/>
        </w:trPr>
        <w:tc>
          <w:tcPr>
            <w:tcW w:w="5055" w:type="dxa"/>
            <w:shd w:val="clear" w:color="auto" w:fill="auto"/>
            <w:noWrap/>
          </w:tcPr>
          <w:p w:rsidR="00976507" w:rsidRPr="009D1874" w:rsidRDefault="00A972E8" w:rsidP="009D1874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9D1874">
              <w:rPr>
                <w:rFonts w:ascii="Arial Narrow" w:hAnsi="Arial Narrow"/>
                <w:b/>
              </w:rPr>
              <w:t>Einnahmen aus offenen Forderungen (hier wird der abgezinste Wert dargestellt)</w:t>
            </w:r>
          </w:p>
        </w:tc>
        <w:tc>
          <w:tcPr>
            <w:tcW w:w="9844" w:type="dxa"/>
            <w:shd w:val="clear" w:color="auto" w:fill="auto"/>
            <w:noWrap/>
          </w:tcPr>
          <w:p w:rsidR="00976507" w:rsidRPr="000C7E94" w:rsidRDefault="00976507" w:rsidP="00E0249F">
            <w:pPr>
              <w:jc w:val="both"/>
              <w:rPr>
                <w:rFonts w:ascii="Arial Narrow" w:hAnsi="Arial Narrow"/>
              </w:rPr>
            </w:pPr>
            <w:r w:rsidRPr="000C7E94">
              <w:rPr>
                <w:rFonts w:ascii="Arial Narrow" w:hAnsi="Arial Narrow"/>
              </w:rPr>
              <w:t xml:space="preserve">Einnahmen, die </w:t>
            </w:r>
            <w:r w:rsidR="00BA6601">
              <w:rPr>
                <w:rFonts w:ascii="Arial Narrow" w:hAnsi="Arial Narrow"/>
              </w:rPr>
              <w:t xml:space="preserve">nach Aufhebung der Sanierungssatzung </w:t>
            </w:r>
            <w:r w:rsidR="008E3605">
              <w:rPr>
                <w:rFonts w:ascii="Arial Narrow" w:hAnsi="Arial Narrow"/>
              </w:rPr>
              <w:t xml:space="preserve">bzw. </w:t>
            </w:r>
            <w:r w:rsidR="00BA6601">
              <w:rPr>
                <w:rFonts w:ascii="Arial Narrow" w:hAnsi="Arial Narrow"/>
              </w:rPr>
              <w:t>nach Abschluss der Gesamtmaßnahme</w:t>
            </w:r>
            <w:r w:rsidR="00BA6601" w:rsidRPr="000C7E94">
              <w:rPr>
                <w:rFonts w:ascii="Arial Narrow" w:hAnsi="Arial Narrow"/>
              </w:rPr>
              <w:t xml:space="preserve"> </w:t>
            </w:r>
            <w:r w:rsidRPr="000C7E94">
              <w:rPr>
                <w:rFonts w:ascii="Arial Narrow" w:hAnsi="Arial Narrow"/>
              </w:rPr>
              <w:t>au</w:t>
            </w:r>
            <w:r w:rsidRPr="000C7E94">
              <w:rPr>
                <w:rFonts w:ascii="Arial Narrow" w:hAnsi="Arial Narrow"/>
              </w:rPr>
              <w:t>f</w:t>
            </w:r>
            <w:r w:rsidRPr="000C7E94">
              <w:rPr>
                <w:rFonts w:ascii="Arial Narrow" w:hAnsi="Arial Narrow"/>
              </w:rPr>
              <w:t>grund eingegangener Verpflichtungen bzw. vorliegender Bewertungen der Höhe nach feststehen (z.B. Au</w:t>
            </w:r>
            <w:r w:rsidRPr="000C7E94">
              <w:rPr>
                <w:rFonts w:ascii="Arial Narrow" w:hAnsi="Arial Narrow"/>
              </w:rPr>
              <w:t>s</w:t>
            </w:r>
            <w:r w:rsidRPr="000C7E94">
              <w:rPr>
                <w:rFonts w:ascii="Arial Narrow" w:hAnsi="Arial Narrow"/>
              </w:rPr>
              <w:t>gleichsbeträge</w:t>
            </w:r>
            <w:r w:rsidRPr="000C7E94">
              <w:rPr>
                <w:rFonts w:ascii="Arial Narrow" w:hAnsi="Arial Narrow"/>
                <w:b/>
              </w:rPr>
              <w:t xml:space="preserve">, </w:t>
            </w:r>
            <w:r w:rsidRPr="000C7E94">
              <w:rPr>
                <w:rFonts w:ascii="Arial Narrow" w:hAnsi="Arial Narrow"/>
              </w:rPr>
              <w:t>z</w:t>
            </w:r>
            <w:r w:rsidR="008834ED">
              <w:rPr>
                <w:rFonts w:ascii="Arial Narrow" w:hAnsi="Arial Narrow"/>
              </w:rPr>
              <w:t>u privatisierende Grundstücke)</w:t>
            </w:r>
          </w:p>
          <w:p w:rsidR="008834ED" w:rsidRPr="009D1874" w:rsidRDefault="008834ED" w:rsidP="00E0249F">
            <w:pPr>
              <w:jc w:val="both"/>
              <w:rPr>
                <w:rFonts w:ascii="Arial Narrow" w:hAnsi="Arial Narrow"/>
              </w:rPr>
            </w:pPr>
          </w:p>
          <w:p w:rsidR="000C7E94" w:rsidRDefault="00976507" w:rsidP="00E0249F">
            <w:pPr>
              <w:jc w:val="both"/>
              <w:rPr>
                <w:rFonts w:ascii="Arial Narrow" w:hAnsi="Arial Narrow"/>
              </w:rPr>
            </w:pPr>
            <w:r w:rsidRPr="000C7E94">
              <w:rPr>
                <w:rFonts w:ascii="Arial Narrow" w:hAnsi="Arial Narrow"/>
              </w:rPr>
              <w:t xml:space="preserve">Die später fälligen Einnahmen gehen abgezinst in die Schlussabrechnung ein. </w:t>
            </w:r>
            <w:r w:rsidR="000C7E94" w:rsidRPr="000C7E94">
              <w:rPr>
                <w:rFonts w:ascii="Arial Narrow" w:hAnsi="Arial Narrow"/>
              </w:rPr>
              <w:t>Hierbei kommt die Anlage 1.1 zu Nr. 2.5 VV zu § 7 LHO zur Anwendung</w:t>
            </w:r>
            <w:r w:rsidR="000C7E94">
              <w:rPr>
                <w:rFonts w:ascii="Arial Narrow" w:hAnsi="Arial Narrow"/>
              </w:rPr>
              <w:t xml:space="preserve">. </w:t>
            </w:r>
            <w:r w:rsidR="006B5595">
              <w:rPr>
                <w:rFonts w:ascii="Arial Narrow" w:hAnsi="Arial Narrow"/>
              </w:rPr>
              <w:t>Der anzuwendende Kalkulationszinssatz ergibt sich aus den ei</w:t>
            </w:r>
            <w:r w:rsidR="006B5595">
              <w:rPr>
                <w:rFonts w:ascii="Arial Narrow" w:hAnsi="Arial Narrow"/>
              </w:rPr>
              <w:t>n</w:t>
            </w:r>
            <w:r w:rsidR="006B5595">
              <w:rPr>
                <w:rFonts w:ascii="Arial Narrow" w:hAnsi="Arial Narrow"/>
              </w:rPr>
              <w:t xml:space="preserve">schlägigen Rundschreiben des Bundesministeriums der Finanzen (siehe auch </w:t>
            </w:r>
            <w:hyperlink r:id="rId7" w:history="1">
              <w:r w:rsidR="009D1874" w:rsidRPr="007B0684">
                <w:rPr>
                  <w:rStyle w:val="Hyperlink"/>
                  <w:rFonts w:ascii="Arial Narrow" w:hAnsi="Arial Narrow"/>
                </w:rPr>
                <w:t>http://www.bundesfinanz-ministerium.de</w:t>
              </w:r>
            </w:hyperlink>
            <w:r w:rsidR="006B5595">
              <w:rPr>
                <w:rFonts w:ascii="Arial Narrow" w:hAnsi="Arial Narrow"/>
              </w:rPr>
              <w:t>; Suchbegriff „</w:t>
            </w:r>
            <w:r w:rsidR="004455B8">
              <w:rPr>
                <w:rFonts w:ascii="Arial Narrow" w:hAnsi="Arial Narrow"/>
              </w:rPr>
              <w:t>Kalkulationszinssatz</w:t>
            </w:r>
            <w:r w:rsidR="006B5595">
              <w:rPr>
                <w:rFonts w:ascii="Arial Narrow" w:hAnsi="Arial Narrow"/>
              </w:rPr>
              <w:t>)</w:t>
            </w:r>
            <w:r w:rsidR="000C7E94" w:rsidRPr="002D02D7">
              <w:rPr>
                <w:rFonts w:ascii="Arial Narrow" w:hAnsi="Arial Narrow"/>
              </w:rPr>
              <w:t>.</w:t>
            </w:r>
            <w:r w:rsidR="008834ED" w:rsidRPr="002D02D7">
              <w:rPr>
                <w:rFonts w:ascii="Arial Narrow" w:hAnsi="Arial Narrow"/>
              </w:rPr>
              <w:t xml:space="preserve"> </w:t>
            </w:r>
            <w:r w:rsidR="002D02D7" w:rsidRPr="002D02D7">
              <w:rPr>
                <w:rFonts w:ascii="Arial Narrow" w:hAnsi="Arial Narrow"/>
              </w:rPr>
              <w:t xml:space="preserve">Beträge, deren Fälligkeit früher als ein Jahr nach der </w:t>
            </w:r>
            <w:r w:rsidR="006B5595" w:rsidRPr="002D02D7">
              <w:rPr>
                <w:rFonts w:ascii="Arial Narrow" w:hAnsi="Arial Narrow"/>
              </w:rPr>
              <w:t>Schlussabrechnung</w:t>
            </w:r>
            <w:r w:rsidR="002D02D7" w:rsidRPr="002D02D7">
              <w:rPr>
                <w:rFonts w:ascii="Arial Narrow" w:hAnsi="Arial Narrow"/>
              </w:rPr>
              <w:t xml:space="preserve"> eintritt, werden nicht abgezinst. Es werden nur volle Jahre abgezinst; bis zu einem halben Jahr ist abzurunden; bei mehr als einem halben Jahr ist aufzurunden. </w:t>
            </w:r>
            <w:r w:rsidR="00522C88">
              <w:rPr>
                <w:rFonts w:ascii="Arial Narrow" w:hAnsi="Arial Narrow"/>
              </w:rPr>
              <w:t>Der Abzinsungszeitraum beginnt mit Ablauf des Jahres, in dem die Schlussrechnung</w:t>
            </w:r>
            <w:r w:rsidR="004455B8">
              <w:rPr>
                <w:rFonts w:ascii="Arial Narrow" w:hAnsi="Arial Narrow"/>
              </w:rPr>
              <w:t xml:space="preserve"> </w:t>
            </w:r>
            <w:r w:rsidR="00522C88">
              <w:rPr>
                <w:rFonts w:ascii="Arial Narrow" w:hAnsi="Arial Narrow"/>
              </w:rPr>
              <w:t xml:space="preserve"> aufgestellt</w:t>
            </w:r>
            <w:r w:rsidR="004455B8">
              <w:rPr>
                <w:rFonts w:ascii="Arial Narrow" w:hAnsi="Arial Narrow"/>
              </w:rPr>
              <w:t xml:space="preserve"> </w:t>
            </w:r>
            <w:r w:rsidR="00522C88">
              <w:rPr>
                <w:rFonts w:ascii="Arial Narrow" w:hAnsi="Arial Narrow"/>
              </w:rPr>
              <w:t>wurde und endet nach spätestens zehn Jahren.</w:t>
            </w:r>
            <w:r w:rsidR="00522C88" w:rsidRPr="002D02D7">
              <w:rPr>
                <w:rFonts w:ascii="Arial Narrow" w:hAnsi="Arial Narrow"/>
              </w:rPr>
              <w:t xml:space="preserve"> </w:t>
            </w:r>
            <w:r w:rsidR="002D02D7" w:rsidRPr="002D02D7">
              <w:rPr>
                <w:rFonts w:ascii="Arial Narrow" w:hAnsi="Arial Narrow"/>
              </w:rPr>
              <w:t xml:space="preserve">Für Beiträge, die später als zehn Jahre nach der </w:t>
            </w:r>
            <w:r w:rsidR="006B5595" w:rsidRPr="002D02D7">
              <w:rPr>
                <w:rFonts w:ascii="Arial Narrow" w:hAnsi="Arial Narrow"/>
              </w:rPr>
              <w:t>Schlussabrechnung</w:t>
            </w:r>
            <w:r w:rsidR="002D02D7" w:rsidRPr="002D02D7">
              <w:rPr>
                <w:rFonts w:ascii="Arial Narrow" w:hAnsi="Arial Narrow"/>
              </w:rPr>
              <w:t xml:space="preserve"> fällig werden, gilt die zehnjährige Abzi</w:t>
            </w:r>
            <w:r w:rsidR="002D02D7" w:rsidRPr="002D02D7">
              <w:rPr>
                <w:rFonts w:ascii="Arial Narrow" w:hAnsi="Arial Narrow"/>
              </w:rPr>
              <w:t>n</w:t>
            </w:r>
            <w:r w:rsidR="002D02D7" w:rsidRPr="002D02D7">
              <w:rPr>
                <w:rFonts w:ascii="Arial Narrow" w:hAnsi="Arial Narrow"/>
              </w:rPr>
              <w:t>sung.</w:t>
            </w:r>
            <w:r w:rsidR="00052725">
              <w:rPr>
                <w:rFonts w:ascii="Arial Narrow" w:hAnsi="Arial Narrow"/>
              </w:rPr>
              <w:t xml:space="preserve"> </w:t>
            </w:r>
            <w:r w:rsidR="002D02D7" w:rsidRPr="002D02D7">
              <w:rPr>
                <w:rFonts w:ascii="Arial Narrow" w:hAnsi="Arial Narrow"/>
              </w:rPr>
              <w:t xml:space="preserve">Die </w:t>
            </w:r>
            <w:r w:rsidR="00A80839">
              <w:rPr>
                <w:rFonts w:ascii="Arial Narrow" w:hAnsi="Arial Narrow"/>
              </w:rPr>
              <w:t xml:space="preserve">Einnahmen einschl. </w:t>
            </w:r>
            <w:r w:rsidR="002D02D7" w:rsidRPr="002D02D7">
              <w:rPr>
                <w:rFonts w:ascii="Arial Narrow" w:hAnsi="Arial Narrow"/>
              </w:rPr>
              <w:t xml:space="preserve">Abzinsung </w:t>
            </w:r>
            <w:r w:rsidR="004455B8" w:rsidRPr="002D02D7">
              <w:rPr>
                <w:rFonts w:ascii="Arial Narrow" w:hAnsi="Arial Narrow"/>
              </w:rPr>
              <w:t>sind</w:t>
            </w:r>
            <w:r w:rsidR="002D02D7" w:rsidRPr="002D02D7">
              <w:rPr>
                <w:rFonts w:ascii="Arial Narrow" w:hAnsi="Arial Narrow"/>
              </w:rPr>
              <w:t xml:space="preserve"> auf </w:t>
            </w:r>
            <w:r w:rsidR="00A80839">
              <w:rPr>
                <w:rFonts w:ascii="Arial Narrow" w:hAnsi="Arial Narrow"/>
              </w:rPr>
              <w:t xml:space="preserve">dem </w:t>
            </w:r>
            <w:r w:rsidR="002D02D7" w:rsidRPr="002D02D7">
              <w:rPr>
                <w:rFonts w:ascii="Arial Narrow" w:hAnsi="Arial Narrow"/>
              </w:rPr>
              <w:t>Vordruck (</w:t>
            </w:r>
            <w:r w:rsidR="006B5595">
              <w:rPr>
                <w:rFonts w:ascii="Arial Narrow" w:hAnsi="Arial Narrow"/>
              </w:rPr>
              <w:t xml:space="preserve">Anlage </w:t>
            </w:r>
            <w:r w:rsidR="000B55C0">
              <w:rPr>
                <w:rFonts w:ascii="Arial Narrow" w:hAnsi="Arial Narrow"/>
              </w:rPr>
              <w:t>3</w:t>
            </w:r>
            <w:r w:rsidR="002D02D7" w:rsidRPr="002D02D7">
              <w:rPr>
                <w:rFonts w:ascii="Arial Narrow" w:hAnsi="Arial Narrow"/>
              </w:rPr>
              <w:t xml:space="preserve">) darzustellen. </w:t>
            </w:r>
          </w:p>
          <w:p w:rsidR="006B5595" w:rsidRPr="009D1874" w:rsidRDefault="006B5595" w:rsidP="00E0249F">
            <w:pPr>
              <w:jc w:val="both"/>
              <w:rPr>
                <w:rFonts w:ascii="Arial Narrow" w:hAnsi="Arial Narrow"/>
              </w:rPr>
            </w:pPr>
          </w:p>
          <w:p w:rsidR="00976507" w:rsidRPr="00753892" w:rsidRDefault="000C7E94" w:rsidP="005A6692">
            <w:pPr>
              <w:jc w:val="both"/>
              <w:rPr>
                <w:rFonts w:ascii="Arial Narrow" w:hAnsi="Arial Narrow"/>
              </w:rPr>
            </w:pPr>
            <w:r w:rsidRPr="000C7E94">
              <w:rPr>
                <w:rFonts w:ascii="Arial Narrow" w:hAnsi="Arial Narrow"/>
              </w:rPr>
              <w:t xml:space="preserve">Vorab kann gemäß Pkt. 14.6.1. der StBauFR 2009 – Fortschreibung 2012 </w:t>
            </w:r>
            <w:r w:rsidR="009D3A9C">
              <w:rPr>
                <w:rFonts w:ascii="Arial Narrow" w:hAnsi="Arial Narrow"/>
              </w:rPr>
              <w:t xml:space="preserve">für noch nicht vereinnahmte </w:t>
            </w:r>
            <w:r w:rsidRPr="000C7E94">
              <w:rPr>
                <w:rFonts w:ascii="Arial Narrow" w:hAnsi="Arial Narrow"/>
              </w:rPr>
              <w:t xml:space="preserve"> </w:t>
            </w:r>
            <w:r w:rsidR="00976507" w:rsidRPr="000C7E94">
              <w:rPr>
                <w:rFonts w:ascii="Arial Narrow" w:hAnsi="Arial Narrow"/>
              </w:rPr>
              <w:t>Au</w:t>
            </w:r>
            <w:r w:rsidR="00976507" w:rsidRPr="000C7E94">
              <w:rPr>
                <w:rFonts w:ascii="Arial Narrow" w:hAnsi="Arial Narrow"/>
              </w:rPr>
              <w:t>s</w:t>
            </w:r>
            <w:r w:rsidR="00976507" w:rsidRPr="000C7E94">
              <w:rPr>
                <w:rFonts w:ascii="Arial Narrow" w:hAnsi="Arial Narrow"/>
              </w:rPr>
              <w:t>gleichsbeträge</w:t>
            </w:r>
            <w:r w:rsidRPr="000C7E94">
              <w:rPr>
                <w:rFonts w:ascii="Arial Narrow" w:hAnsi="Arial Narrow"/>
              </w:rPr>
              <w:t xml:space="preserve"> zum </w:t>
            </w:r>
            <w:r w:rsidR="00976507" w:rsidRPr="000C7E94">
              <w:rPr>
                <w:rFonts w:ascii="Arial Narrow" w:hAnsi="Arial Narrow"/>
              </w:rPr>
              <w:t>Zeitpunkt der Gesamtmaßnahmenschlussabrechnung ein pauschaler Risikoabschlag in Höhe von 20 % vorgenommen werden</w:t>
            </w:r>
            <w:r w:rsidR="005A6692">
              <w:rPr>
                <w:rFonts w:ascii="Arial Narrow" w:hAnsi="Arial Narrow"/>
              </w:rPr>
              <w:t>, hier erfolgt dafür keine Abzinsung</w:t>
            </w:r>
            <w:r w:rsidRPr="000C7E94">
              <w:rPr>
                <w:rFonts w:ascii="Arial Narrow" w:hAnsi="Arial Narrow"/>
              </w:rPr>
              <w:t>.</w:t>
            </w:r>
          </w:p>
        </w:tc>
      </w:tr>
      <w:tr w:rsidR="00E90BC1" w:rsidRPr="00976507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E90BC1" w:rsidRPr="009D1874" w:rsidRDefault="00E90BC1" w:rsidP="009D1874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9D1874">
              <w:rPr>
                <w:rFonts w:ascii="Arial Narrow" w:hAnsi="Arial Narrow"/>
                <w:b/>
                <w:sz w:val="28"/>
              </w:rPr>
              <w:t>D. Wertausgleich</w:t>
            </w:r>
          </w:p>
        </w:tc>
        <w:tc>
          <w:tcPr>
            <w:tcW w:w="9844" w:type="dxa"/>
            <w:shd w:val="clear" w:color="auto" w:fill="C0C0C0"/>
            <w:noWrap/>
          </w:tcPr>
          <w:p w:rsidR="00E90BC1" w:rsidRPr="00065E2F" w:rsidRDefault="00EB7259" w:rsidP="00E0249F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</w:rPr>
              <w:t xml:space="preserve">Vermerk zum Wertausgleich beachten (Anlage </w:t>
            </w:r>
            <w:r w:rsidR="000B55C0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)</w:t>
            </w:r>
          </w:p>
        </w:tc>
      </w:tr>
      <w:tr w:rsidR="00E90BC1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E90BC1" w:rsidRPr="006135FB" w:rsidRDefault="00E90BC1" w:rsidP="00EB7259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Wert</w:t>
            </w:r>
            <w:r>
              <w:rPr>
                <w:rFonts w:ascii="Arial Narrow" w:hAnsi="Arial Narrow"/>
                <w:b/>
              </w:rPr>
              <w:t>ausgleich</w:t>
            </w:r>
            <w:r w:rsidRPr="006135FB">
              <w:rPr>
                <w:rFonts w:ascii="Arial Narrow" w:hAnsi="Arial Narrow"/>
                <w:b/>
              </w:rPr>
              <w:t xml:space="preserve"> zu Lasten der Gemeinde </w:t>
            </w:r>
          </w:p>
        </w:tc>
        <w:tc>
          <w:tcPr>
            <w:tcW w:w="9844" w:type="dxa"/>
            <w:shd w:val="clear" w:color="auto" w:fill="auto"/>
            <w:noWrap/>
          </w:tcPr>
          <w:p w:rsidR="00E90BC1" w:rsidRPr="00B87689" w:rsidRDefault="00EB7259" w:rsidP="00E0249F">
            <w:pPr>
              <w:jc w:val="both"/>
              <w:rPr>
                <w:rFonts w:ascii="Arial Narrow" w:hAnsi="Arial Narrow"/>
              </w:rPr>
            </w:pPr>
            <w:r w:rsidRPr="00564C81">
              <w:rPr>
                <w:rFonts w:ascii="Arial Narrow" w:hAnsi="Arial Narrow"/>
              </w:rPr>
              <w:t xml:space="preserve">Summe der Spalte 8 der Grundstücksliste </w:t>
            </w:r>
            <w:r>
              <w:rPr>
                <w:rFonts w:ascii="Arial Narrow" w:hAnsi="Arial Narrow"/>
              </w:rPr>
              <w:t>B</w:t>
            </w:r>
            <w:r w:rsidR="000B55C0">
              <w:rPr>
                <w:rFonts w:ascii="Arial Narrow" w:hAnsi="Arial Narrow"/>
              </w:rPr>
              <w:t xml:space="preserve"> (Anlage 6)</w:t>
            </w:r>
          </w:p>
        </w:tc>
      </w:tr>
      <w:tr w:rsidR="00E90BC1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E90BC1" w:rsidRPr="00F67295" w:rsidRDefault="00E90BC1" w:rsidP="00EB7259">
            <w:pPr>
              <w:rPr>
                <w:rFonts w:ascii="Arial Narrow" w:hAnsi="Arial Narrow"/>
                <w:b/>
              </w:rPr>
            </w:pPr>
            <w:r w:rsidRPr="00F67295">
              <w:rPr>
                <w:rFonts w:ascii="Arial Narrow" w:hAnsi="Arial Narrow"/>
                <w:b/>
              </w:rPr>
              <w:t>abzgl. Wertausgleich zu Gunsten der Gemeinde</w:t>
            </w:r>
          </w:p>
        </w:tc>
        <w:tc>
          <w:tcPr>
            <w:tcW w:w="9844" w:type="dxa"/>
            <w:shd w:val="clear" w:color="auto" w:fill="auto"/>
            <w:noWrap/>
          </w:tcPr>
          <w:p w:rsidR="00E90BC1" w:rsidRDefault="00564C81" w:rsidP="00E0249F">
            <w:pPr>
              <w:jc w:val="both"/>
            </w:pPr>
            <w:r w:rsidRPr="00564C81">
              <w:rPr>
                <w:rFonts w:ascii="Arial Narrow" w:hAnsi="Arial Narrow"/>
              </w:rPr>
              <w:t>Summe der Spalte 8 der Grundstücksliste A</w:t>
            </w:r>
            <w:r w:rsidR="000B55C0">
              <w:rPr>
                <w:rFonts w:ascii="Arial Narrow" w:hAnsi="Arial Narrow"/>
              </w:rPr>
              <w:t xml:space="preserve"> (Anlage 5)</w:t>
            </w:r>
          </w:p>
        </w:tc>
      </w:tr>
      <w:tr w:rsidR="00E90BC1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E90BC1" w:rsidRPr="006135FB" w:rsidRDefault="00E90BC1" w:rsidP="00EB7259">
            <w:pPr>
              <w:rPr>
                <w:rFonts w:ascii="Arial Narrow" w:hAnsi="Arial Narrow"/>
                <w:b/>
              </w:rPr>
            </w:pPr>
            <w:r w:rsidRPr="00F67295">
              <w:rPr>
                <w:rFonts w:ascii="Arial Narrow" w:hAnsi="Arial Narrow"/>
                <w:b/>
              </w:rPr>
              <w:t>ggf. verbleibender Wertausgleich zu Lasten der Gemeinde</w:t>
            </w:r>
          </w:p>
        </w:tc>
        <w:tc>
          <w:tcPr>
            <w:tcW w:w="9844" w:type="dxa"/>
            <w:shd w:val="clear" w:color="auto" w:fill="auto"/>
            <w:noWrap/>
          </w:tcPr>
          <w:p w:rsidR="00EB7259" w:rsidRPr="00753892" w:rsidRDefault="00EB7259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Berechnung mittels hinterlegter Formel im Formblatt</w:t>
            </w:r>
          </w:p>
          <w:p w:rsidR="00E90BC1" w:rsidRPr="00753892" w:rsidRDefault="00E90BC1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753892" w:rsidRPr="00753892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753892" w:rsidRPr="00AF59B5" w:rsidRDefault="00E90BC1" w:rsidP="009D1874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D1874">
              <w:rPr>
                <w:rFonts w:ascii="Arial Narrow" w:hAnsi="Arial Narrow"/>
                <w:b/>
                <w:sz w:val="28"/>
              </w:rPr>
              <w:lastRenderedPageBreak/>
              <w:t>E</w:t>
            </w:r>
            <w:r w:rsidR="00753892" w:rsidRPr="009D1874">
              <w:rPr>
                <w:rFonts w:ascii="Arial Narrow" w:hAnsi="Arial Narrow"/>
                <w:b/>
                <w:sz w:val="28"/>
              </w:rPr>
              <w:t>. Ausgaben</w:t>
            </w:r>
            <w:r w:rsidR="00753892" w:rsidRPr="00AF59B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44" w:type="dxa"/>
            <w:shd w:val="clear" w:color="auto" w:fill="C0C0C0"/>
            <w:noWrap/>
          </w:tcPr>
          <w:p w:rsidR="00753892" w:rsidRPr="00AF59B5" w:rsidRDefault="00753892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AF59B5" w:rsidRPr="00AF59B5" w:rsidTr="00F17AC4">
        <w:trPr>
          <w:trHeight w:val="510"/>
        </w:trPr>
        <w:tc>
          <w:tcPr>
            <w:tcW w:w="5055" w:type="dxa"/>
            <w:shd w:val="clear" w:color="auto" w:fill="auto"/>
            <w:noWrap/>
          </w:tcPr>
          <w:p w:rsidR="00AF59B5" w:rsidRPr="00E06227" w:rsidRDefault="00AF59B5" w:rsidP="00E06227">
            <w:pPr>
              <w:rPr>
                <w:rFonts w:ascii="Arial Narrow" w:hAnsi="Arial Narrow"/>
                <w:b/>
              </w:rPr>
            </w:pPr>
            <w:r w:rsidRPr="00E06227">
              <w:rPr>
                <w:rFonts w:ascii="Arial Narrow" w:hAnsi="Arial Narrow"/>
                <w:b/>
              </w:rPr>
              <w:t xml:space="preserve">anerkannte Ausgaben lt. Zwischenabrechnung </w:t>
            </w:r>
          </w:p>
        </w:tc>
        <w:tc>
          <w:tcPr>
            <w:tcW w:w="9844" w:type="dxa"/>
            <w:shd w:val="clear" w:color="auto" w:fill="auto"/>
            <w:noWrap/>
          </w:tcPr>
          <w:p w:rsidR="00AF59B5" w:rsidRPr="000D2495" w:rsidRDefault="000D2495" w:rsidP="00E0249F">
            <w:pPr>
              <w:jc w:val="both"/>
              <w:rPr>
                <w:rFonts w:ascii="Arial Narrow" w:hAnsi="Arial Narrow"/>
              </w:rPr>
            </w:pPr>
            <w:r w:rsidRPr="000D2495">
              <w:rPr>
                <w:rFonts w:ascii="Arial Narrow" w:hAnsi="Arial Narrow"/>
              </w:rPr>
              <w:t>im Rahmen der Zwischenabrechnung anerkannte Städtebauförderungsmittel auf der Grundlage der Schlus</w:t>
            </w:r>
            <w:r w:rsidRPr="000D2495">
              <w:rPr>
                <w:rFonts w:ascii="Arial Narrow" w:hAnsi="Arial Narrow"/>
              </w:rPr>
              <w:t>s</w:t>
            </w:r>
            <w:r w:rsidRPr="000D2495">
              <w:rPr>
                <w:rFonts w:ascii="Arial Narrow" w:hAnsi="Arial Narrow"/>
              </w:rPr>
              <w:t>rechnungsprüfung bzw. Kostenprüfung.</w:t>
            </w:r>
          </w:p>
        </w:tc>
      </w:tr>
      <w:tr w:rsidR="00753892" w:rsidRPr="00AF59B5" w:rsidTr="00F17AC4">
        <w:trPr>
          <w:trHeight w:val="510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B.1 </w:t>
            </w:r>
            <w:r w:rsidR="003E2BAB">
              <w:rPr>
                <w:rFonts w:ascii="Arial Narrow" w:hAnsi="Arial Narrow"/>
                <w:b/>
              </w:rPr>
              <w:t xml:space="preserve">  </w:t>
            </w:r>
            <w:r w:rsidRPr="006135FB">
              <w:rPr>
                <w:rFonts w:ascii="Arial Narrow" w:hAnsi="Arial Narrow"/>
                <w:b/>
              </w:rPr>
              <w:t xml:space="preserve">Vorbereitende </w:t>
            </w:r>
            <w:r w:rsidR="003E2BAB">
              <w:rPr>
                <w:rFonts w:ascii="Arial Narrow" w:hAnsi="Arial Narrow"/>
                <w:b/>
              </w:rPr>
              <w:t xml:space="preserve"> </w:t>
            </w:r>
            <w:r w:rsidRPr="006135FB">
              <w:rPr>
                <w:rFonts w:ascii="Arial Narrow" w:hAnsi="Arial Narrow"/>
                <w:b/>
              </w:rPr>
              <w:t>Untersuchungen und durchführungsbezogene Untersuchungen und Gutachten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C56D73" w:rsidRDefault="00C56D73" w:rsidP="009D18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B.1</w:t>
            </w:r>
            <w:r w:rsidR="002E2C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 </w:t>
            </w:r>
            <w:r w:rsidR="009D1874">
              <w:rPr>
                <w:rFonts w:ascii="Arial Narrow" w:hAnsi="Arial Narrow"/>
              </w:rPr>
              <w:t>bzw. B.4.1 – Voruntersuchungen und B.4.2.1 (Förderrichtl</w:t>
            </w:r>
            <w:r w:rsidR="009D1874">
              <w:rPr>
                <w:rFonts w:ascii="Arial Narrow" w:hAnsi="Arial Narrow"/>
              </w:rPr>
              <w:t>i</w:t>
            </w:r>
            <w:r w:rsidR="009D1874">
              <w:rPr>
                <w:rFonts w:ascii="Arial Narrow" w:hAnsi="Arial Narrow"/>
              </w:rPr>
              <w:t xml:space="preserve">nie zur Stadtentwicklung vom 07.04.2003) </w:t>
            </w:r>
            <w:r>
              <w:rPr>
                <w:rFonts w:ascii="Arial Narrow" w:hAnsi="Arial Narrow"/>
              </w:rPr>
              <w:t>und des Handlungsfeldes B. 1 (</w:t>
            </w:r>
            <w:r w:rsidR="00B374ED">
              <w:rPr>
                <w:rFonts w:ascii="Arial Narrow" w:hAnsi="Arial Narrow"/>
              </w:rPr>
              <w:t>Förderr</w:t>
            </w:r>
            <w:r>
              <w:rPr>
                <w:rFonts w:ascii="Arial Narrow" w:hAnsi="Arial Narrow"/>
              </w:rPr>
              <w:t xml:space="preserve">ichtlinie ab 2009) </w:t>
            </w:r>
            <w:r w:rsidR="009D1874">
              <w:rPr>
                <w:rFonts w:ascii="Arial Narrow" w:hAnsi="Arial Narrow"/>
              </w:rPr>
              <w:t xml:space="preserve">bzw. </w:t>
            </w:r>
            <w:r w:rsidR="002E2CEE">
              <w:rPr>
                <w:rFonts w:ascii="Arial Narrow" w:hAnsi="Arial Narrow"/>
              </w:rPr>
              <w:t xml:space="preserve">B.4.1 </w:t>
            </w:r>
            <w:r w:rsidR="00F26738">
              <w:rPr>
                <w:rFonts w:ascii="Arial Narrow" w:hAnsi="Arial Narrow"/>
              </w:rPr>
              <w:t>–</w:t>
            </w:r>
            <w:r w:rsidR="00B0763B">
              <w:rPr>
                <w:rFonts w:ascii="Arial Narrow" w:hAnsi="Arial Narrow"/>
              </w:rPr>
              <w:t xml:space="preserve"> </w:t>
            </w:r>
            <w:r w:rsidR="00F26738">
              <w:rPr>
                <w:rFonts w:ascii="Arial Narrow" w:hAnsi="Arial Narrow"/>
              </w:rPr>
              <w:t xml:space="preserve">Voruntersuchungen </w:t>
            </w:r>
            <w:r w:rsidR="002E2CEE">
              <w:rPr>
                <w:rFonts w:ascii="Arial Narrow" w:hAnsi="Arial Narrow"/>
              </w:rPr>
              <w:t>und B.4.2.1</w:t>
            </w:r>
            <w:r w:rsidR="00F26738">
              <w:rPr>
                <w:rFonts w:ascii="Arial Narrow" w:hAnsi="Arial Narrow"/>
              </w:rPr>
              <w:t xml:space="preserve"> </w:t>
            </w:r>
            <w:r w:rsidR="009D1874">
              <w:rPr>
                <w:rFonts w:ascii="Arial Narrow" w:hAnsi="Arial Narrow"/>
              </w:rPr>
              <w:t>(</w:t>
            </w:r>
            <w:r w:rsidR="002E2CEE">
              <w:rPr>
                <w:rFonts w:ascii="Arial Narrow" w:hAnsi="Arial Narrow"/>
              </w:rPr>
              <w:t>Förderrichtlinie zur Stadtentwicklung vom 07.04.2003)</w:t>
            </w:r>
          </w:p>
        </w:tc>
      </w:tr>
      <w:tr w:rsidR="00753892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B.2 </w:t>
            </w:r>
            <w:r w:rsidR="003E2BAB">
              <w:rPr>
                <w:rFonts w:ascii="Arial Narrow" w:hAnsi="Arial Narrow"/>
                <w:b/>
              </w:rPr>
              <w:t xml:space="preserve">  </w:t>
            </w:r>
            <w:r w:rsidRPr="006135FB">
              <w:rPr>
                <w:rFonts w:ascii="Arial Narrow" w:hAnsi="Arial Narrow"/>
                <w:b/>
              </w:rPr>
              <w:t>Begleitung der Gesamtmaßnahme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C56D73" w:rsidRDefault="00DD37F6" w:rsidP="009D18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B.2 und B.8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 </w:t>
            </w:r>
            <w:r w:rsidR="009D1874">
              <w:rPr>
                <w:rFonts w:ascii="Arial Narrow" w:hAnsi="Arial Narrow"/>
              </w:rPr>
              <w:t>bzw. B.4.2.2 und B.4.2.5 (Förderrichtlinie zur Stadten</w:t>
            </w:r>
            <w:r w:rsidR="009D1874">
              <w:rPr>
                <w:rFonts w:ascii="Arial Narrow" w:hAnsi="Arial Narrow"/>
              </w:rPr>
              <w:t>t</w:t>
            </w:r>
            <w:r w:rsidR="009D1874">
              <w:rPr>
                <w:rFonts w:ascii="Arial Narrow" w:hAnsi="Arial Narrow"/>
              </w:rPr>
              <w:t xml:space="preserve">wicklung vom 07.04.2003) </w:t>
            </w:r>
            <w:r>
              <w:rPr>
                <w:rFonts w:ascii="Arial Narrow" w:hAnsi="Arial Narrow"/>
              </w:rPr>
              <w:t>und des Handlungsfeldes B. 2 (</w:t>
            </w:r>
            <w:r w:rsidR="00B374ED">
              <w:rPr>
                <w:rFonts w:ascii="Arial Narrow" w:hAnsi="Arial Narrow"/>
              </w:rPr>
              <w:t>Förderr</w:t>
            </w:r>
            <w:r>
              <w:rPr>
                <w:rFonts w:ascii="Arial Narrow" w:hAnsi="Arial Narrow"/>
              </w:rPr>
              <w:t xml:space="preserve">ichtlinie ab 2009) </w:t>
            </w:r>
          </w:p>
        </w:tc>
      </w:tr>
      <w:tr w:rsidR="00753892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3E2BAB" w:rsidP="00E06227">
            <w:pPr>
              <w:numPr>
                <w:ilvl w:val="0"/>
                <w:numId w:val="4"/>
              </w:numPr>
              <w:tabs>
                <w:tab w:val="clear" w:pos="530"/>
              </w:tabs>
              <w:ind w:left="305" w:firstLine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davon </w:t>
            </w:r>
            <w:r w:rsidR="00753892" w:rsidRPr="006135FB">
              <w:rPr>
                <w:rFonts w:ascii="Arial Narrow" w:hAnsi="Arial Narrow"/>
                <w:b/>
              </w:rPr>
              <w:t>Öffentlichkeitsarbeit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C56D73" w:rsidRDefault="00C56D73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B.2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</w:t>
            </w:r>
            <w:r w:rsidR="009D1874">
              <w:rPr>
                <w:rFonts w:ascii="Arial Narrow" w:hAnsi="Arial Narrow"/>
              </w:rPr>
              <w:t xml:space="preserve"> bzw. </w:t>
            </w:r>
            <w:r w:rsidR="00B0763B">
              <w:rPr>
                <w:rFonts w:ascii="Arial Narrow" w:hAnsi="Arial Narrow"/>
              </w:rPr>
              <w:t xml:space="preserve">B.4.2.2 </w:t>
            </w:r>
            <w:r w:rsidR="009D1874">
              <w:rPr>
                <w:rFonts w:ascii="Arial Narrow" w:hAnsi="Arial Narrow"/>
              </w:rPr>
              <w:t>(</w:t>
            </w:r>
            <w:r w:rsidR="00B0763B">
              <w:rPr>
                <w:rFonts w:ascii="Arial Narrow" w:hAnsi="Arial Narrow"/>
              </w:rPr>
              <w:t xml:space="preserve">Förderrichtlinie zur Stadtentwicklung vom 07.04.2003) </w:t>
            </w:r>
            <w:r>
              <w:rPr>
                <w:rFonts w:ascii="Arial Narrow" w:hAnsi="Arial Narrow"/>
              </w:rPr>
              <w:t>und des Handlungsfeldes B. 2.2.1 (</w:t>
            </w:r>
            <w:r w:rsidR="00B374ED">
              <w:rPr>
                <w:rFonts w:ascii="Arial Narrow" w:hAnsi="Arial Narrow"/>
              </w:rPr>
              <w:t>Förderr</w:t>
            </w:r>
            <w:r>
              <w:rPr>
                <w:rFonts w:ascii="Arial Narrow" w:hAnsi="Arial Narrow"/>
              </w:rPr>
              <w:t xml:space="preserve">ichtlinie ab 2009) </w:t>
            </w:r>
          </w:p>
        </w:tc>
      </w:tr>
      <w:tr w:rsidR="00753892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3E2BAB" w:rsidP="00E06227">
            <w:pPr>
              <w:numPr>
                <w:ilvl w:val="0"/>
                <w:numId w:val="4"/>
              </w:numPr>
              <w:tabs>
                <w:tab w:val="clear" w:pos="530"/>
              </w:tabs>
              <w:ind w:left="305" w:firstLine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davon </w:t>
            </w:r>
            <w:r w:rsidR="00753892" w:rsidRPr="006135FB">
              <w:rPr>
                <w:rFonts w:ascii="Arial Narrow" w:hAnsi="Arial Narrow"/>
                <w:b/>
              </w:rPr>
              <w:t>Durchführungsaufgaben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C56D73" w:rsidRDefault="00C56D73" w:rsidP="009D18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</w:t>
            </w:r>
            <w:r w:rsidR="00DD37F6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</w:t>
            </w:r>
            <w:r w:rsidR="009D1874">
              <w:rPr>
                <w:rFonts w:ascii="Arial Narrow" w:hAnsi="Arial Narrow"/>
              </w:rPr>
              <w:t xml:space="preserve"> bzw. </w:t>
            </w:r>
            <w:r w:rsidR="00B0763B">
              <w:rPr>
                <w:rFonts w:ascii="Arial Narrow" w:hAnsi="Arial Narrow"/>
              </w:rPr>
              <w:t xml:space="preserve">B.4.2.5 </w:t>
            </w:r>
            <w:r w:rsidR="009D1874">
              <w:rPr>
                <w:rFonts w:ascii="Arial Narrow" w:hAnsi="Arial Narrow"/>
              </w:rPr>
              <w:t>(</w:t>
            </w:r>
            <w:r w:rsidR="00B0763B">
              <w:rPr>
                <w:rFonts w:ascii="Arial Narrow" w:hAnsi="Arial Narrow"/>
              </w:rPr>
              <w:t>Förderrichtlinie zur Stadtentwicklung vom 07.04.2003)</w:t>
            </w:r>
            <w:r>
              <w:rPr>
                <w:rFonts w:ascii="Arial Narrow" w:hAnsi="Arial Narrow"/>
              </w:rPr>
              <w:t xml:space="preserve"> und des Handlungsfeldes B. 2.2.2 (</w:t>
            </w:r>
            <w:r w:rsidR="00B374ED">
              <w:rPr>
                <w:rFonts w:ascii="Arial Narrow" w:hAnsi="Arial Narrow"/>
              </w:rPr>
              <w:t>Förderr</w:t>
            </w:r>
            <w:r>
              <w:rPr>
                <w:rFonts w:ascii="Arial Narrow" w:hAnsi="Arial Narrow"/>
              </w:rPr>
              <w:t>ichtlinie ab 2009</w:t>
            </w:r>
            <w:r w:rsidR="00DD37F6">
              <w:rPr>
                <w:rFonts w:ascii="Arial Narrow" w:hAnsi="Arial Narrow"/>
              </w:rPr>
              <w:t>)</w:t>
            </w:r>
          </w:p>
        </w:tc>
      </w:tr>
      <w:tr w:rsidR="003E2BAB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3E2BAB" w:rsidRPr="006135FB" w:rsidRDefault="003E2BAB" w:rsidP="00E06227">
            <w:pPr>
              <w:numPr>
                <w:ilvl w:val="0"/>
                <w:numId w:val="4"/>
              </w:numPr>
              <w:tabs>
                <w:tab w:val="clear" w:pos="530"/>
              </w:tabs>
              <w:ind w:left="305" w:firstLine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davon Baufachliche Prüfung</w:t>
            </w:r>
          </w:p>
        </w:tc>
        <w:tc>
          <w:tcPr>
            <w:tcW w:w="9844" w:type="dxa"/>
            <w:shd w:val="clear" w:color="auto" w:fill="auto"/>
            <w:noWrap/>
          </w:tcPr>
          <w:p w:rsidR="002B19FF" w:rsidRPr="00C56D73" w:rsidRDefault="00C56D73" w:rsidP="00E0249F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B.8 – Baufachliche Prüfung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</w:t>
            </w:r>
            <w:r w:rsidRPr="00FE5E64">
              <w:rPr>
                <w:rFonts w:ascii="Arial Narrow" w:hAnsi="Arial Narrow"/>
              </w:rPr>
              <w:t xml:space="preserve">1999) </w:t>
            </w:r>
            <w:r w:rsidR="00492BE4" w:rsidRPr="00FE5E64">
              <w:rPr>
                <w:rFonts w:ascii="Arial Narrow" w:hAnsi="Arial Narrow"/>
              </w:rPr>
              <w:t>mit separaten Einzelbestätigungen</w:t>
            </w:r>
          </w:p>
        </w:tc>
      </w:tr>
      <w:tr w:rsidR="00753892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753892" w:rsidRPr="006135FB" w:rsidRDefault="00753892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B.3 </w:t>
            </w:r>
            <w:r w:rsidR="003E2BAB">
              <w:rPr>
                <w:rFonts w:ascii="Arial Narrow" w:hAnsi="Arial Narrow"/>
                <w:b/>
              </w:rPr>
              <w:t xml:space="preserve">  </w:t>
            </w:r>
            <w:r w:rsidRPr="006135FB">
              <w:rPr>
                <w:rFonts w:ascii="Arial Narrow" w:hAnsi="Arial Narrow"/>
                <w:b/>
              </w:rPr>
              <w:t>Baumaßnahmen</w:t>
            </w:r>
          </w:p>
        </w:tc>
        <w:tc>
          <w:tcPr>
            <w:tcW w:w="9844" w:type="dxa"/>
            <w:shd w:val="clear" w:color="auto" w:fill="auto"/>
            <w:noWrap/>
          </w:tcPr>
          <w:p w:rsidR="00753892" w:rsidRPr="003E2BAB" w:rsidRDefault="00C56D73" w:rsidP="009D187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 anerkannten Ausgaben über die Gesamtlaufzeit der Gesamtmaßnahme des Fördergegenstandes B.</w:t>
            </w:r>
            <w:r w:rsidR="000D249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 </w:t>
            </w:r>
            <w:r w:rsidR="009D1874">
              <w:rPr>
                <w:rFonts w:ascii="Arial Narrow" w:hAnsi="Arial Narrow"/>
              </w:rPr>
              <w:t xml:space="preserve">bzw. </w:t>
            </w:r>
            <w:r w:rsidR="00B0763B">
              <w:rPr>
                <w:rFonts w:ascii="Arial Narrow" w:hAnsi="Arial Narrow"/>
              </w:rPr>
              <w:t xml:space="preserve">B.4.2.6 </w:t>
            </w:r>
            <w:r w:rsidR="009D1874">
              <w:rPr>
                <w:rFonts w:ascii="Arial Narrow" w:hAnsi="Arial Narrow"/>
              </w:rPr>
              <w:t>(</w:t>
            </w:r>
            <w:r w:rsidR="00B0763B">
              <w:rPr>
                <w:rFonts w:ascii="Arial Narrow" w:hAnsi="Arial Narrow"/>
              </w:rPr>
              <w:t xml:space="preserve">Förderrichtlinie zur Stadtentwicklung vom 07.04.2003) </w:t>
            </w:r>
            <w:r>
              <w:rPr>
                <w:rFonts w:ascii="Arial Narrow" w:hAnsi="Arial Narrow"/>
              </w:rPr>
              <w:t xml:space="preserve">und des Handlungsfeldes B. </w:t>
            </w:r>
            <w:r w:rsidR="000D249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(</w:t>
            </w:r>
            <w:r w:rsidR="00B374ED">
              <w:rPr>
                <w:rFonts w:ascii="Arial Narrow" w:hAnsi="Arial Narrow"/>
              </w:rPr>
              <w:t>Förderr</w:t>
            </w:r>
            <w:r>
              <w:rPr>
                <w:rFonts w:ascii="Arial Narrow" w:hAnsi="Arial Narrow"/>
              </w:rPr>
              <w:t xml:space="preserve">ichtlinie ab 2009) </w:t>
            </w:r>
          </w:p>
        </w:tc>
      </w:tr>
      <w:tr w:rsidR="003E2BAB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3E2BAB" w:rsidRPr="006135FB" w:rsidRDefault="00976507" w:rsidP="004849C7">
            <w:pPr>
              <w:numPr>
                <w:ilvl w:val="0"/>
                <w:numId w:val="4"/>
              </w:numPr>
              <w:tabs>
                <w:tab w:val="clear" w:pos="530"/>
              </w:tabs>
              <w:ind w:left="796" w:hanging="31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davon B.9 </w:t>
            </w:r>
            <w:r w:rsidRPr="00976507">
              <w:rPr>
                <w:rFonts w:ascii="Arial Narrow" w:hAnsi="Arial Narrow"/>
                <w:b/>
              </w:rPr>
              <w:t>Kleinteilige Einzelvorhaben zur Verbesser</w:t>
            </w:r>
            <w:r>
              <w:rPr>
                <w:rFonts w:ascii="Arial Narrow" w:hAnsi="Arial Narrow"/>
                <w:b/>
              </w:rPr>
              <w:t>u</w:t>
            </w:r>
            <w:r w:rsidRPr="00976507">
              <w:rPr>
                <w:rFonts w:ascii="Arial Narrow" w:hAnsi="Arial Narrow"/>
                <w:b/>
              </w:rPr>
              <w:t>ng des Stadt- und Ortsbildes</w:t>
            </w:r>
          </w:p>
        </w:tc>
        <w:tc>
          <w:tcPr>
            <w:tcW w:w="9844" w:type="dxa"/>
            <w:shd w:val="clear" w:color="auto" w:fill="auto"/>
            <w:noWrap/>
          </w:tcPr>
          <w:p w:rsidR="003E2BAB" w:rsidRPr="003E2BAB" w:rsidRDefault="000D2495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anerkannten Ausgaben über die Gesamtlaufzeit der Gesamtmaßnahme des Fördergegenstandes B.9 (Förde</w:t>
            </w:r>
            <w:r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>
              <w:rPr>
                <w:rFonts w:ascii="Arial Narrow" w:hAnsi="Arial Narrow"/>
              </w:rPr>
              <w:t xml:space="preserve"> 1991 – 1999) </w:t>
            </w:r>
          </w:p>
        </w:tc>
      </w:tr>
      <w:tr w:rsidR="000D2495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0D2495" w:rsidRPr="006135FB" w:rsidRDefault="000D2495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B.4 Ordnungsmaßnahmen</w:t>
            </w:r>
          </w:p>
        </w:tc>
        <w:tc>
          <w:tcPr>
            <w:tcW w:w="9844" w:type="dxa"/>
            <w:shd w:val="clear" w:color="auto" w:fill="auto"/>
            <w:noWrap/>
          </w:tcPr>
          <w:p w:rsidR="000D2495" w:rsidRDefault="000D2495" w:rsidP="009D1874">
            <w:pPr>
              <w:jc w:val="both"/>
            </w:pPr>
            <w:r w:rsidRPr="000A456F">
              <w:rPr>
                <w:rFonts w:ascii="Arial Narrow" w:hAnsi="Arial Narrow"/>
              </w:rPr>
              <w:t>alle anerkannten Ausgaben über die Gesamtlaufzeit der Gesamtmaßnahme des Fördergegenstandes B.</w:t>
            </w:r>
            <w:r>
              <w:rPr>
                <w:rFonts w:ascii="Arial Narrow" w:hAnsi="Arial Narrow"/>
              </w:rPr>
              <w:t>4</w:t>
            </w:r>
            <w:r w:rsidRPr="000A456F">
              <w:rPr>
                <w:rFonts w:ascii="Arial Narrow" w:hAnsi="Arial Narrow"/>
              </w:rPr>
              <w:t xml:space="preserve"> (Förderrichtlinie </w:t>
            </w:r>
            <w:r w:rsidR="002E2CEE">
              <w:rPr>
                <w:rFonts w:ascii="Arial Narrow" w:hAnsi="Arial Narrow"/>
              </w:rPr>
              <w:t xml:space="preserve">der Stadterneuerung </w:t>
            </w:r>
            <w:r w:rsidRPr="000A456F">
              <w:rPr>
                <w:rFonts w:ascii="Arial Narrow" w:hAnsi="Arial Narrow"/>
              </w:rPr>
              <w:t>1991 – 1999</w:t>
            </w:r>
            <w:r w:rsidR="009D1874">
              <w:rPr>
                <w:rFonts w:ascii="Arial Narrow" w:hAnsi="Arial Narrow"/>
              </w:rPr>
              <w:t xml:space="preserve">) bzw. </w:t>
            </w:r>
            <w:r w:rsidR="00B0763B">
              <w:rPr>
                <w:rFonts w:ascii="Arial Narrow" w:hAnsi="Arial Narrow"/>
              </w:rPr>
              <w:t xml:space="preserve">B.4.2.3 und B.4.2.4 </w:t>
            </w:r>
            <w:r w:rsidR="009D1874">
              <w:rPr>
                <w:rFonts w:ascii="Arial Narrow" w:hAnsi="Arial Narrow"/>
              </w:rPr>
              <w:t>(</w:t>
            </w:r>
            <w:r w:rsidR="00B0763B">
              <w:rPr>
                <w:rFonts w:ascii="Arial Narrow" w:hAnsi="Arial Narrow"/>
              </w:rPr>
              <w:t>Förderrichtlinie zur Stadtentwic</w:t>
            </w:r>
            <w:r w:rsidR="00B0763B">
              <w:rPr>
                <w:rFonts w:ascii="Arial Narrow" w:hAnsi="Arial Narrow"/>
              </w:rPr>
              <w:t>k</w:t>
            </w:r>
            <w:r w:rsidR="00B0763B">
              <w:rPr>
                <w:rFonts w:ascii="Arial Narrow" w:hAnsi="Arial Narrow"/>
              </w:rPr>
              <w:t>lung vom 07.04.2003</w:t>
            </w:r>
            <w:r w:rsidR="00D47ECE">
              <w:rPr>
                <w:rFonts w:ascii="Arial Narrow" w:hAnsi="Arial Narrow"/>
              </w:rPr>
              <w:t>)</w:t>
            </w:r>
            <w:r w:rsidRPr="000A456F">
              <w:rPr>
                <w:rFonts w:ascii="Arial Narrow" w:hAnsi="Arial Narrow"/>
              </w:rPr>
              <w:t xml:space="preserve"> und des Handlungsfeldes B. </w:t>
            </w:r>
            <w:r>
              <w:rPr>
                <w:rFonts w:ascii="Arial Narrow" w:hAnsi="Arial Narrow"/>
              </w:rPr>
              <w:t>4</w:t>
            </w:r>
            <w:r w:rsidRPr="000A456F">
              <w:rPr>
                <w:rFonts w:ascii="Arial Narrow" w:hAnsi="Arial Narrow"/>
              </w:rPr>
              <w:t xml:space="preserve"> (</w:t>
            </w:r>
            <w:r w:rsidR="00B374ED">
              <w:rPr>
                <w:rFonts w:ascii="Arial Narrow" w:hAnsi="Arial Narrow"/>
              </w:rPr>
              <w:t>Förderr</w:t>
            </w:r>
            <w:r w:rsidRPr="000A456F">
              <w:rPr>
                <w:rFonts w:ascii="Arial Narrow" w:hAnsi="Arial Narrow"/>
              </w:rPr>
              <w:t xml:space="preserve">ichtlinie ab 2009) </w:t>
            </w:r>
          </w:p>
        </w:tc>
      </w:tr>
      <w:tr w:rsidR="000D2495" w:rsidRPr="00B754E4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0D2495" w:rsidRPr="006135FB" w:rsidRDefault="000D2495" w:rsidP="00E06227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B.5 </w:t>
            </w:r>
            <w:r w:rsidRPr="006135FB">
              <w:rPr>
                <w:rFonts w:ascii="Arial Narrow" w:hAnsi="Arial Narrow"/>
                <w:b/>
              </w:rPr>
              <w:t>Herstellung und Änderung von Erschli</w:t>
            </w:r>
            <w:r w:rsidRPr="006135FB">
              <w:rPr>
                <w:rFonts w:ascii="Arial Narrow" w:hAnsi="Arial Narrow"/>
                <w:b/>
              </w:rPr>
              <w:t>e</w:t>
            </w:r>
            <w:r w:rsidRPr="006135FB">
              <w:rPr>
                <w:rFonts w:ascii="Arial Narrow" w:hAnsi="Arial Narrow"/>
                <w:b/>
              </w:rPr>
              <w:t>ßungsanlagen und Freiflächen</w:t>
            </w:r>
          </w:p>
        </w:tc>
        <w:tc>
          <w:tcPr>
            <w:tcW w:w="9844" w:type="dxa"/>
            <w:shd w:val="clear" w:color="auto" w:fill="auto"/>
            <w:noWrap/>
          </w:tcPr>
          <w:p w:rsidR="000D2495" w:rsidRDefault="000D2495" w:rsidP="009D1874">
            <w:pPr>
              <w:jc w:val="both"/>
            </w:pPr>
            <w:r w:rsidRPr="000A456F">
              <w:rPr>
                <w:rFonts w:ascii="Arial Narrow" w:hAnsi="Arial Narrow"/>
              </w:rPr>
              <w:t>alle anerkannten Ausgaben über die Gesamtlaufzeit der Gesamtmaßnahme des Fördergegenstandes B.</w:t>
            </w:r>
            <w:r>
              <w:rPr>
                <w:rFonts w:ascii="Arial Narrow" w:hAnsi="Arial Narrow"/>
              </w:rPr>
              <w:t>5, B.6, und B.7</w:t>
            </w:r>
            <w:r w:rsidRPr="000A456F">
              <w:rPr>
                <w:rFonts w:ascii="Arial Narrow" w:hAnsi="Arial Narrow"/>
              </w:rPr>
              <w:t xml:space="preserve">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 w:rsidRPr="000A456F">
              <w:rPr>
                <w:rFonts w:ascii="Arial Narrow" w:hAnsi="Arial Narrow"/>
              </w:rPr>
              <w:t xml:space="preserve"> 1991 – 1999)</w:t>
            </w:r>
            <w:r w:rsidR="009D1874">
              <w:rPr>
                <w:rFonts w:ascii="Arial Narrow" w:hAnsi="Arial Narrow"/>
              </w:rPr>
              <w:t xml:space="preserve"> bzw. </w:t>
            </w:r>
            <w:r w:rsidR="00D47ECE">
              <w:rPr>
                <w:rFonts w:ascii="Arial Narrow" w:hAnsi="Arial Narrow"/>
              </w:rPr>
              <w:t>B.4.2.4</w:t>
            </w:r>
            <w:r w:rsidR="009D1874">
              <w:rPr>
                <w:rFonts w:ascii="Arial Narrow" w:hAnsi="Arial Narrow"/>
              </w:rPr>
              <w:t xml:space="preserve"> (</w:t>
            </w:r>
            <w:r w:rsidR="00B0763B">
              <w:rPr>
                <w:rFonts w:ascii="Arial Narrow" w:hAnsi="Arial Narrow"/>
              </w:rPr>
              <w:t xml:space="preserve">Förderrichtlinie zur Stadtentwicklung vom 07.04.2003) </w:t>
            </w:r>
            <w:r w:rsidRPr="000A456F">
              <w:rPr>
                <w:rFonts w:ascii="Arial Narrow" w:hAnsi="Arial Narrow"/>
              </w:rPr>
              <w:t xml:space="preserve">und des Handlungsfeldes B. </w:t>
            </w:r>
            <w:r>
              <w:rPr>
                <w:rFonts w:ascii="Arial Narrow" w:hAnsi="Arial Narrow"/>
              </w:rPr>
              <w:t>5</w:t>
            </w:r>
            <w:r w:rsidRPr="000A456F">
              <w:rPr>
                <w:rFonts w:ascii="Arial Narrow" w:hAnsi="Arial Narrow"/>
              </w:rPr>
              <w:t xml:space="preserve"> (</w:t>
            </w:r>
            <w:r w:rsidR="00B374ED">
              <w:rPr>
                <w:rFonts w:ascii="Arial Narrow" w:hAnsi="Arial Narrow"/>
              </w:rPr>
              <w:t>Förderr</w:t>
            </w:r>
            <w:r w:rsidRPr="000A456F">
              <w:rPr>
                <w:rFonts w:ascii="Arial Narrow" w:hAnsi="Arial Narrow"/>
              </w:rPr>
              <w:t xml:space="preserve">ichtlinie ab 2009) </w:t>
            </w:r>
          </w:p>
        </w:tc>
      </w:tr>
      <w:tr w:rsidR="000D2495" w:rsidRPr="000F6AAF" w:rsidTr="00F17AC4">
        <w:trPr>
          <w:trHeight w:val="540"/>
        </w:trPr>
        <w:tc>
          <w:tcPr>
            <w:tcW w:w="5055" w:type="dxa"/>
            <w:shd w:val="clear" w:color="auto" w:fill="auto"/>
            <w:noWrap/>
          </w:tcPr>
          <w:p w:rsidR="000D2495" w:rsidRDefault="00492BE4" w:rsidP="00E06227">
            <w:pPr>
              <w:numPr>
                <w:ilvl w:val="0"/>
                <w:numId w:val="4"/>
              </w:numPr>
              <w:tabs>
                <w:tab w:val="clear" w:pos="530"/>
              </w:tabs>
              <w:ind w:left="845"/>
              <w:rPr>
                <w:rFonts w:ascii="Arial Narrow" w:hAnsi="Arial Narrow"/>
                <w:b/>
              </w:rPr>
            </w:pPr>
            <w:r w:rsidRPr="00A972E8">
              <w:rPr>
                <w:rFonts w:ascii="Arial Narrow" w:hAnsi="Arial Narrow"/>
                <w:b/>
              </w:rPr>
              <w:t xml:space="preserve">davon </w:t>
            </w:r>
            <w:r w:rsidR="000D2495" w:rsidRPr="00A972E8">
              <w:rPr>
                <w:rFonts w:ascii="Arial Narrow" w:hAnsi="Arial Narrow"/>
                <w:b/>
              </w:rPr>
              <w:t>B</w:t>
            </w:r>
            <w:r w:rsidR="000D2495">
              <w:rPr>
                <w:rFonts w:ascii="Arial Narrow" w:hAnsi="Arial Narrow"/>
                <w:b/>
              </w:rPr>
              <w:t xml:space="preserve">.6 </w:t>
            </w:r>
            <w:r w:rsidR="000D2495" w:rsidRPr="00976507">
              <w:rPr>
                <w:rFonts w:ascii="Arial Narrow" w:hAnsi="Arial Narrow"/>
                <w:b/>
              </w:rPr>
              <w:t>Anlage und Gestaltung von ö</w:t>
            </w:r>
            <w:r w:rsidR="000D2495" w:rsidRPr="00976507">
              <w:rPr>
                <w:rFonts w:ascii="Arial Narrow" w:hAnsi="Arial Narrow"/>
                <w:b/>
              </w:rPr>
              <w:t>f</w:t>
            </w:r>
            <w:r w:rsidR="000D2495" w:rsidRPr="00976507">
              <w:rPr>
                <w:rFonts w:ascii="Arial Narrow" w:hAnsi="Arial Narrow"/>
                <w:b/>
              </w:rPr>
              <w:t>fentlichen Grünflächen und Anlagen zum Spielen für Kinder und Jugendliche</w:t>
            </w:r>
          </w:p>
        </w:tc>
        <w:tc>
          <w:tcPr>
            <w:tcW w:w="9844" w:type="dxa"/>
            <w:shd w:val="clear" w:color="auto" w:fill="auto"/>
            <w:noWrap/>
          </w:tcPr>
          <w:p w:rsidR="000D2495" w:rsidRDefault="000D2495" w:rsidP="009D1874">
            <w:pPr>
              <w:jc w:val="both"/>
            </w:pPr>
            <w:r w:rsidRPr="00D3270A">
              <w:rPr>
                <w:rFonts w:ascii="Arial Narrow" w:hAnsi="Arial Narrow"/>
              </w:rPr>
              <w:t>alle anerkannten Ausgaben über die Gesamtlaufzeit der Gesamtmaßnahme des Fördergegenstandes B.</w:t>
            </w:r>
            <w:r>
              <w:rPr>
                <w:rFonts w:ascii="Arial Narrow" w:hAnsi="Arial Narrow"/>
              </w:rPr>
              <w:t>6</w:t>
            </w:r>
            <w:r w:rsidRPr="00D3270A">
              <w:rPr>
                <w:rFonts w:ascii="Arial Narrow" w:hAnsi="Arial Narrow"/>
              </w:rPr>
              <w:t xml:space="preserve">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 w:rsidRPr="00D3270A">
              <w:rPr>
                <w:rFonts w:ascii="Arial Narrow" w:hAnsi="Arial Narrow"/>
              </w:rPr>
              <w:t xml:space="preserve"> 1991 – 1999)</w:t>
            </w:r>
            <w:r w:rsidR="009D1874">
              <w:rPr>
                <w:rFonts w:ascii="Arial Narrow" w:hAnsi="Arial Narrow"/>
              </w:rPr>
              <w:t xml:space="preserve"> bzw. </w:t>
            </w:r>
            <w:r w:rsidR="00D47ECE">
              <w:rPr>
                <w:rFonts w:ascii="Arial Narrow" w:hAnsi="Arial Narrow"/>
              </w:rPr>
              <w:t xml:space="preserve">B.4.2.6 </w:t>
            </w:r>
            <w:r w:rsidR="009D1874">
              <w:rPr>
                <w:rFonts w:ascii="Arial Narrow" w:hAnsi="Arial Narrow"/>
              </w:rPr>
              <w:t>(</w:t>
            </w:r>
            <w:r w:rsidR="00D47ECE">
              <w:rPr>
                <w:rFonts w:ascii="Arial Narrow" w:hAnsi="Arial Narrow"/>
              </w:rPr>
              <w:t>Förderrichtlinie zur Stadtentwicklung vom 07.04.2003)</w:t>
            </w:r>
          </w:p>
        </w:tc>
      </w:tr>
      <w:tr w:rsidR="000D2495" w:rsidRPr="000F6AAF" w:rsidTr="00F17AC4">
        <w:trPr>
          <w:trHeight w:val="540"/>
        </w:trPr>
        <w:tc>
          <w:tcPr>
            <w:tcW w:w="5055" w:type="dxa"/>
            <w:shd w:val="clear" w:color="auto" w:fill="auto"/>
            <w:noWrap/>
          </w:tcPr>
          <w:p w:rsidR="000D2495" w:rsidRDefault="00492BE4" w:rsidP="00E06227">
            <w:pPr>
              <w:numPr>
                <w:ilvl w:val="0"/>
                <w:numId w:val="4"/>
              </w:numPr>
              <w:tabs>
                <w:tab w:val="clear" w:pos="530"/>
              </w:tabs>
              <w:ind w:left="845"/>
              <w:rPr>
                <w:rFonts w:ascii="Arial Narrow" w:hAnsi="Arial Narrow"/>
                <w:b/>
              </w:rPr>
            </w:pPr>
            <w:r w:rsidRPr="00A972E8">
              <w:rPr>
                <w:rFonts w:ascii="Arial Narrow" w:hAnsi="Arial Narrow"/>
                <w:b/>
              </w:rPr>
              <w:lastRenderedPageBreak/>
              <w:t xml:space="preserve">davon </w:t>
            </w:r>
            <w:r w:rsidR="000D2495" w:rsidRPr="00A972E8">
              <w:rPr>
                <w:rFonts w:ascii="Arial Narrow" w:hAnsi="Arial Narrow"/>
                <w:b/>
              </w:rPr>
              <w:t>B.7 Anlage</w:t>
            </w:r>
            <w:r w:rsidR="000D2495" w:rsidRPr="00976507">
              <w:rPr>
                <w:rFonts w:ascii="Arial Narrow" w:hAnsi="Arial Narrow"/>
                <w:b/>
              </w:rPr>
              <w:t xml:space="preserve"> und Gestaltung von Wohnumfeldbereichen und privaten Grü</w:t>
            </w:r>
            <w:r w:rsidR="000D2495" w:rsidRPr="00976507">
              <w:rPr>
                <w:rFonts w:ascii="Arial Narrow" w:hAnsi="Arial Narrow"/>
                <w:b/>
              </w:rPr>
              <w:t>n</w:t>
            </w:r>
            <w:r w:rsidR="000D2495" w:rsidRPr="00976507">
              <w:rPr>
                <w:rFonts w:ascii="Arial Narrow" w:hAnsi="Arial Narrow"/>
                <w:b/>
              </w:rPr>
              <w:t>flächen in Mietwohngebieten</w:t>
            </w:r>
          </w:p>
        </w:tc>
        <w:tc>
          <w:tcPr>
            <w:tcW w:w="9844" w:type="dxa"/>
            <w:shd w:val="clear" w:color="auto" w:fill="auto"/>
            <w:noWrap/>
          </w:tcPr>
          <w:p w:rsidR="000D2495" w:rsidRDefault="000D2495" w:rsidP="00D47ECE">
            <w:pPr>
              <w:jc w:val="both"/>
            </w:pPr>
            <w:r w:rsidRPr="00D3270A">
              <w:rPr>
                <w:rFonts w:ascii="Arial Narrow" w:hAnsi="Arial Narrow"/>
              </w:rPr>
              <w:t>alle anerkannten Ausgaben über die Gesamtlaufzeit der Gesamtmaßnahme des Fördergegenstandes B.</w:t>
            </w:r>
            <w:r>
              <w:rPr>
                <w:rFonts w:ascii="Arial Narrow" w:hAnsi="Arial Narrow"/>
              </w:rPr>
              <w:t>7</w:t>
            </w:r>
            <w:r w:rsidRPr="00D3270A">
              <w:rPr>
                <w:rFonts w:ascii="Arial Narrow" w:hAnsi="Arial Narrow"/>
              </w:rPr>
              <w:t xml:space="preserve"> (Förderrichtlinie</w:t>
            </w:r>
            <w:r w:rsidR="002E2CEE">
              <w:rPr>
                <w:rFonts w:ascii="Arial Narrow" w:hAnsi="Arial Narrow"/>
              </w:rPr>
              <w:t xml:space="preserve"> der Stadterneuerung</w:t>
            </w:r>
            <w:r w:rsidRPr="00D3270A">
              <w:rPr>
                <w:rFonts w:ascii="Arial Narrow" w:hAnsi="Arial Narrow"/>
              </w:rPr>
              <w:t xml:space="preserve"> 1991 – 1999)</w:t>
            </w:r>
          </w:p>
        </w:tc>
      </w:tr>
      <w:tr w:rsidR="00D45566" w:rsidRPr="003E2BAB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D45566" w:rsidRPr="006135FB" w:rsidRDefault="00D45566" w:rsidP="00D45566">
            <w:pPr>
              <w:numPr>
                <w:ilvl w:val="0"/>
                <w:numId w:val="4"/>
              </w:numPr>
              <w:tabs>
                <w:tab w:val="clear" w:pos="530"/>
              </w:tabs>
              <w:ind w:left="84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davon </w:t>
            </w:r>
            <w:r w:rsidRPr="006135FB">
              <w:rPr>
                <w:rFonts w:ascii="Arial Narrow" w:hAnsi="Arial Narrow"/>
                <w:b/>
              </w:rPr>
              <w:t>Ausgaben für bodenarchäologische Maßnahmen auf öffentlichen Flächen</w:t>
            </w:r>
          </w:p>
        </w:tc>
        <w:tc>
          <w:tcPr>
            <w:tcW w:w="9844" w:type="dxa"/>
            <w:shd w:val="clear" w:color="auto" w:fill="auto"/>
            <w:noWrap/>
          </w:tcPr>
          <w:p w:rsidR="00D45566" w:rsidRDefault="00D45566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alle Ausgaben für </w:t>
            </w:r>
            <w:r w:rsidRPr="00DD37F6">
              <w:rPr>
                <w:rFonts w:ascii="Arial Narrow" w:hAnsi="Arial Narrow"/>
              </w:rPr>
              <w:t>bodenarchäologische</w:t>
            </w:r>
            <w:r w:rsidRPr="006135FB">
              <w:rPr>
                <w:rFonts w:ascii="Arial Narrow" w:hAnsi="Arial Narrow"/>
                <w:b/>
              </w:rPr>
              <w:t xml:space="preserve"> </w:t>
            </w:r>
            <w:r w:rsidRPr="00DD37F6">
              <w:rPr>
                <w:rFonts w:ascii="Arial Narrow" w:hAnsi="Arial Narrow"/>
              </w:rPr>
              <w:t>Maßnahmen</w:t>
            </w:r>
            <w:r>
              <w:rPr>
                <w:rFonts w:ascii="Arial Narrow" w:hAnsi="Arial Narrow"/>
              </w:rPr>
              <w:t xml:space="preserve"> </w:t>
            </w:r>
            <w:r w:rsidRPr="000A456F">
              <w:rPr>
                <w:rFonts w:ascii="Arial Narrow" w:hAnsi="Arial Narrow"/>
              </w:rPr>
              <w:t>über die Gesamtlaufzeit der Gesamtmaßnahme</w:t>
            </w:r>
          </w:p>
          <w:p w:rsidR="00E0249F" w:rsidRDefault="00E0249F" w:rsidP="00E0249F">
            <w:pPr>
              <w:jc w:val="both"/>
              <w:rPr>
                <w:rFonts w:ascii="Arial Narrow" w:hAnsi="Arial Narrow"/>
              </w:rPr>
            </w:pPr>
          </w:p>
          <w:p w:rsidR="00D45566" w:rsidRPr="003E2BAB" w:rsidRDefault="00D45566" w:rsidP="0001234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Das Formblatt „</w:t>
            </w:r>
            <w:r w:rsidR="00012346" w:rsidRPr="00012346">
              <w:rPr>
                <w:rFonts w:ascii="Arial Narrow" w:hAnsi="Arial Narrow"/>
              </w:rPr>
              <w:t>Nachweis von bodenarchäologischen Maßnahmen auf öffentlichen Flächen</w:t>
            </w:r>
            <w:r>
              <w:rPr>
                <w:rFonts w:ascii="Arial Narrow" w:hAnsi="Arial Narrow"/>
              </w:rPr>
              <w:t>“ ist vorzulegen</w:t>
            </w:r>
            <w:r w:rsidR="00012346">
              <w:rPr>
                <w:rFonts w:ascii="Arial Narrow" w:hAnsi="Arial Narrow"/>
              </w:rPr>
              <w:t xml:space="preserve"> (siehe Anlage 7)</w:t>
            </w:r>
            <w:r>
              <w:rPr>
                <w:rFonts w:ascii="Arial Narrow" w:hAnsi="Arial Narrow"/>
              </w:rPr>
              <w:t>.</w:t>
            </w:r>
            <w:r w:rsidR="000123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Das g</w:t>
            </w:r>
            <w:r w:rsidRPr="00B03EEA">
              <w:rPr>
                <w:rFonts w:ascii="Arial Narrow" w:hAnsi="Arial Narrow"/>
              </w:rPr>
              <w:t>emeinsame Rundschre</w:t>
            </w:r>
            <w:r>
              <w:rPr>
                <w:rFonts w:ascii="Arial Narrow" w:hAnsi="Arial Narrow"/>
              </w:rPr>
              <w:t>i</w:t>
            </w:r>
            <w:r w:rsidRPr="00B03EEA">
              <w:rPr>
                <w:rFonts w:ascii="Arial Narrow" w:hAnsi="Arial Narrow"/>
              </w:rPr>
              <w:t xml:space="preserve">ben des BLDAM und LBV 3/12/06 vom 14.12.2006 </w:t>
            </w:r>
            <w:r>
              <w:rPr>
                <w:rFonts w:ascii="Arial Narrow" w:hAnsi="Arial Narrow"/>
              </w:rPr>
              <w:t xml:space="preserve">ist zu </w:t>
            </w:r>
            <w:r w:rsidRPr="00B03EEA">
              <w:rPr>
                <w:rFonts w:ascii="Arial Narrow" w:hAnsi="Arial Narrow"/>
              </w:rPr>
              <w:t>b</w:t>
            </w:r>
            <w:r w:rsidRPr="00B03EEA">
              <w:rPr>
                <w:rFonts w:ascii="Arial Narrow" w:hAnsi="Arial Narrow"/>
              </w:rPr>
              <w:t>e</w:t>
            </w:r>
            <w:r w:rsidRPr="00B03EEA">
              <w:rPr>
                <w:rFonts w:ascii="Arial Narrow" w:hAnsi="Arial Narrow"/>
              </w:rPr>
              <w:t>achten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D76BA8" w:rsidRPr="00F17AC4" w:rsidTr="00F17AC4">
        <w:trPr>
          <w:trHeight w:val="464"/>
        </w:trPr>
        <w:tc>
          <w:tcPr>
            <w:tcW w:w="5055" w:type="dxa"/>
            <w:shd w:val="clear" w:color="auto" w:fill="auto"/>
            <w:noWrap/>
          </w:tcPr>
          <w:p w:rsidR="00D76BA8" w:rsidRPr="00976507" w:rsidRDefault="00976507" w:rsidP="00E06227">
            <w:pPr>
              <w:rPr>
                <w:rFonts w:ascii="Arial Narrow" w:hAnsi="Arial Narrow"/>
                <w:b/>
              </w:rPr>
            </w:pPr>
            <w:r w:rsidRPr="00976507">
              <w:rPr>
                <w:rFonts w:ascii="Arial Narrow" w:hAnsi="Arial Narrow"/>
                <w:b/>
              </w:rPr>
              <w:t>nicht erstattete Ausgaben unter Anwendung der Bagatellregel</w:t>
            </w:r>
          </w:p>
        </w:tc>
        <w:tc>
          <w:tcPr>
            <w:tcW w:w="9844" w:type="dxa"/>
            <w:shd w:val="clear" w:color="auto" w:fill="auto"/>
            <w:noWrap/>
          </w:tcPr>
          <w:p w:rsidR="00D76BA8" w:rsidRPr="00F17AC4" w:rsidRDefault="000F6AAF" w:rsidP="00F17AC4">
            <w:pPr>
              <w:rPr>
                <w:rFonts w:ascii="Arial Narrow" w:hAnsi="Arial Narrow"/>
              </w:rPr>
            </w:pPr>
            <w:r w:rsidRPr="00F17AC4">
              <w:rPr>
                <w:rFonts w:ascii="Arial Narrow" w:hAnsi="Arial Narrow"/>
              </w:rPr>
              <w:t xml:space="preserve">nicht zweckentsprechend verwendete Städtebauförderungsmittel, die wegen </w:t>
            </w:r>
            <w:r w:rsidR="00E11BB2" w:rsidRPr="00F17AC4">
              <w:rPr>
                <w:rFonts w:ascii="Arial Narrow" w:hAnsi="Arial Narrow"/>
              </w:rPr>
              <w:t xml:space="preserve">ihrer Höhe </w:t>
            </w:r>
            <w:r w:rsidR="008908C8" w:rsidRPr="00F17AC4">
              <w:rPr>
                <w:rFonts w:ascii="Arial Narrow" w:hAnsi="Arial Narrow"/>
              </w:rPr>
              <w:t xml:space="preserve">nach </w:t>
            </w:r>
            <w:r w:rsidRPr="00F17AC4">
              <w:rPr>
                <w:rFonts w:ascii="Arial Narrow" w:hAnsi="Arial Narrow"/>
              </w:rPr>
              <w:t xml:space="preserve">nicht </w:t>
            </w:r>
            <w:r w:rsidR="00E11BB2" w:rsidRPr="00F17AC4">
              <w:rPr>
                <w:rFonts w:ascii="Arial Narrow" w:hAnsi="Arial Narrow"/>
              </w:rPr>
              <w:t>zur Wiede</w:t>
            </w:r>
            <w:r w:rsidR="00E11BB2" w:rsidRPr="00F17AC4">
              <w:rPr>
                <w:rFonts w:ascii="Arial Narrow" w:hAnsi="Arial Narrow"/>
              </w:rPr>
              <w:t>r</w:t>
            </w:r>
            <w:r w:rsidR="00E11BB2" w:rsidRPr="00F17AC4">
              <w:rPr>
                <w:rFonts w:ascii="Arial Narrow" w:hAnsi="Arial Narrow"/>
              </w:rPr>
              <w:t>einstellung ins Sonder-/ Treuhandvermögen</w:t>
            </w:r>
            <w:r w:rsidR="008D3296" w:rsidRPr="00F17AC4">
              <w:rPr>
                <w:rFonts w:ascii="Arial Narrow" w:hAnsi="Arial Narrow"/>
              </w:rPr>
              <w:t xml:space="preserve"> </w:t>
            </w:r>
            <w:r w:rsidR="00E11BB2" w:rsidRPr="00F17AC4">
              <w:rPr>
                <w:rFonts w:ascii="Arial Narrow" w:hAnsi="Arial Narrow"/>
              </w:rPr>
              <w:t xml:space="preserve">festgesetzt </w:t>
            </w:r>
            <w:r w:rsidRPr="00F17AC4">
              <w:rPr>
                <w:rFonts w:ascii="Arial Narrow" w:hAnsi="Arial Narrow"/>
              </w:rPr>
              <w:t xml:space="preserve">wurden </w:t>
            </w:r>
            <w:r w:rsidR="00E11BB2" w:rsidRPr="00F17AC4">
              <w:rPr>
                <w:rFonts w:ascii="Arial Narrow" w:hAnsi="Arial Narrow"/>
              </w:rPr>
              <w:t>(Bagatellrege</w:t>
            </w:r>
            <w:r w:rsidR="003C2740" w:rsidRPr="00F17AC4">
              <w:rPr>
                <w:rFonts w:ascii="Arial Narrow" w:hAnsi="Arial Narrow"/>
              </w:rPr>
              <w:t>l gemäß Nr. 8.7 VV zu § 44 LHO</w:t>
            </w:r>
            <w:r w:rsidR="00E11BB2" w:rsidRPr="00F17AC4">
              <w:rPr>
                <w:rFonts w:ascii="Arial Narrow" w:hAnsi="Arial Narrow"/>
              </w:rPr>
              <w:t>)</w:t>
            </w:r>
          </w:p>
        </w:tc>
      </w:tr>
      <w:tr w:rsidR="00753892" w:rsidRPr="00753892" w:rsidTr="00F17AC4">
        <w:trPr>
          <w:trHeight w:val="54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3892" w:rsidRPr="00A972E8" w:rsidRDefault="00A972E8" w:rsidP="00E06227">
            <w:pPr>
              <w:rPr>
                <w:rFonts w:ascii="Arial Narrow" w:hAnsi="Arial Narrow"/>
                <w:b/>
              </w:rPr>
            </w:pPr>
            <w:r w:rsidRPr="00A972E8">
              <w:rPr>
                <w:rFonts w:ascii="Arial Narrow" w:hAnsi="Arial Narrow"/>
                <w:b/>
              </w:rPr>
              <w:t>Ausgaben aufgrund eingegangener Verpflichtungen</w:t>
            </w:r>
            <w:r w:rsidR="00FE5E64">
              <w:rPr>
                <w:rFonts w:ascii="Arial Narrow" w:hAnsi="Arial Narrow"/>
                <w:b/>
              </w:rPr>
              <w:t xml:space="preserve"> </w:t>
            </w:r>
            <w:r w:rsidR="00FE5E64" w:rsidRPr="00A972E8">
              <w:rPr>
                <w:rFonts w:ascii="Arial Narrow" w:hAnsi="Arial Narrow"/>
                <w:b/>
              </w:rPr>
              <w:t>(hier wird der abgezinste Wert dargestellt)</w:t>
            </w:r>
          </w:p>
        </w:tc>
        <w:tc>
          <w:tcPr>
            <w:tcW w:w="9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6227" w:rsidRPr="00FE5E64" w:rsidRDefault="001F4873" w:rsidP="00E0249F">
            <w:pPr>
              <w:jc w:val="both"/>
              <w:rPr>
                <w:rFonts w:ascii="Arial Narrow" w:hAnsi="Arial Narrow"/>
              </w:rPr>
            </w:pPr>
            <w:r w:rsidRPr="00FE5E64">
              <w:rPr>
                <w:rFonts w:ascii="Arial Narrow" w:hAnsi="Arial Narrow"/>
              </w:rPr>
              <w:t xml:space="preserve">förderfähige </w:t>
            </w:r>
            <w:r w:rsidR="00E90BC1" w:rsidRPr="00FE5E64">
              <w:rPr>
                <w:rFonts w:ascii="Arial Narrow" w:hAnsi="Arial Narrow"/>
              </w:rPr>
              <w:t xml:space="preserve">Ausgaben, die </w:t>
            </w:r>
            <w:r w:rsidR="00BA6601" w:rsidRPr="00FE5E64">
              <w:rPr>
                <w:rFonts w:ascii="Arial Narrow" w:hAnsi="Arial Narrow"/>
              </w:rPr>
              <w:t xml:space="preserve">nach Aufhebung der Sanierungssatzung </w:t>
            </w:r>
            <w:r w:rsidR="008E3605" w:rsidRPr="00FE5E64">
              <w:rPr>
                <w:rFonts w:ascii="Arial Narrow" w:hAnsi="Arial Narrow"/>
              </w:rPr>
              <w:t xml:space="preserve">bzw. </w:t>
            </w:r>
            <w:r w:rsidR="00BA6601" w:rsidRPr="00FE5E64">
              <w:rPr>
                <w:rFonts w:ascii="Arial Narrow" w:hAnsi="Arial Narrow"/>
              </w:rPr>
              <w:t>nach Abschluss der Gesamtma</w:t>
            </w:r>
            <w:r w:rsidR="00BA6601" w:rsidRPr="00FE5E64">
              <w:rPr>
                <w:rFonts w:ascii="Arial Narrow" w:hAnsi="Arial Narrow"/>
              </w:rPr>
              <w:t>ß</w:t>
            </w:r>
            <w:r w:rsidR="00BA6601" w:rsidRPr="00FE5E64">
              <w:rPr>
                <w:rFonts w:ascii="Arial Narrow" w:hAnsi="Arial Narrow"/>
              </w:rPr>
              <w:t xml:space="preserve">nahme </w:t>
            </w:r>
            <w:r w:rsidR="00E90BC1" w:rsidRPr="00FE5E64">
              <w:rPr>
                <w:rFonts w:ascii="Arial Narrow" w:hAnsi="Arial Narrow"/>
              </w:rPr>
              <w:t xml:space="preserve">aufgrund eingegangener Verpflichtungen der Höhe nach feststehen </w:t>
            </w:r>
          </w:p>
          <w:p w:rsidR="00976507" w:rsidRPr="00FE5E64" w:rsidRDefault="00BA6601" w:rsidP="00E0249F">
            <w:pPr>
              <w:jc w:val="both"/>
              <w:rPr>
                <w:rFonts w:ascii="Arial Narrow" w:hAnsi="Arial Narrow"/>
              </w:rPr>
            </w:pPr>
            <w:r w:rsidRPr="00FE5E64">
              <w:rPr>
                <w:rFonts w:ascii="Arial Narrow" w:hAnsi="Arial Narrow"/>
              </w:rPr>
              <w:t xml:space="preserve">- </w:t>
            </w:r>
            <w:r w:rsidR="00E06227" w:rsidRPr="00FE5E64">
              <w:rPr>
                <w:rFonts w:ascii="Arial Narrow" w:hAnsi="Arial Narrow"/>
              </w:rPr>
              <w:t xml:space="preserve">zur Abzinsung </w:t>
            </w:r>
            <w:r w:rsidR="00E90BC1" w:rsidRPr="00FE5E64">
              <w:rPr>
                <w:rFonts w:ascii="Arial Narrow" w:hAnsi="Arial Narrow"/>
              </w:rPr>
              <w:t xml:space="preserve">und Aufstellung </w:t>
            </w:r>
            <w:r w:rsidR="00E06227" w:rsidRPr="00FE5E64">
              <w:rPr>
                <w:rFonts w:ascii="Arial Narrow" w:hAnsi="Arial Narrow"/>
              </w:rPr>
              <w:t>siehe „nach dem Abschluss der Gesamtmaßnahme fällige Einnahmen</w:t>
            </w:r>
            <w:r w:rsidR="00E11BB2" w:rsidRPr="00FE5E64">
              <w:rPr>
                <w:rFonts w:ascii="Arial Narrow" w:hAnsi="Arial Narrow"/>
              </w:rPr>
              <w:t>“</w:t>
            </w:r>
            <w:r w:rsidR="00E06227" w:rsidRPr="00FE5E64">
              <w:rPr>
                <w:rFonts w:ascii="Arial Narrow" w:hAnsi="Arial Narrow"/>
              </w:rPr>
              <w:t xml:space="preserve"> </w:t>
            </w:r>
          </w:p>
        </w:tc>
      </w:tr>
      <w:tr w:rsidR="00E90BC1" w:rsidRPr="00B03EEA" w:rsidTr="00F17AC4">
        <w:trPr>
          <w:trHeight w:val="255"/>
        </w:trPr>
        <w:tc>
          <w:tcPr>
            <w:tcW w:w="5055" w:type="dxa"/>
            <w:shd w:val="clear" w:color="auto" w:fill="C0C0C0"/>
            <w:noWrap/>
          </w:tcPr>
          <w:p w:rsidR="00E90BC1" w:rsidRPr="00065E2F" w:rsidRDefault="00F17AC4" w:rsidP="00F17AC4">
            <w:pPr>
              <w:rPr>
                <w:rFonts w:ascii="Arial Narrow" w:hAnsi="Arial Narrow"/>
                <w:b/>
                <w:bCs/>
                <w:sz w:val="28"/>
                <w:szCs w:val="28"/>
                <w:highlight w:val="lightGray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F. </w:t>
            </w:r>
            <w:r w:rsidR="00E90BC1" w:rsidRPr="00F17AC4">
              <w:rPr>
                <w:rFonts w:ascii="Arial Narrow" w:hAnsi="Arial Narrow"/>
                <w:b/>
                <w:sz w:val="28"/>
              </w:rPr>
              <w:t>Gesamtabgleich von Einnahmen und Ausgaben</w:t>
            </w:r>
          </w:p>
        </w:tc>
        <w:tc>
          <w:tcPr>
            <w:tcW w:w="9844" w:type="dxa"/>
            <w:shd w:val="clear" w:color="auto" w:fill="C0C0C0"/>
            <w:noWrap/>
          </w:tcPr>
          <w:p w:rsidR="00E90BC1" w:rsidRPr="00065E2F" w:rsidRDefault="00E90BC1" w:rsidP="00E0249F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F67295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F67295" w:rsidRPr="006135FB" w:rsidRDefault="00F67295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 xml:space="preserve">Summe der Einnahmen </w:t>
            </w:r>
          </w:p>
        </w:tc>
        <w:tc>
          <w:tcPr>
            <w:tcW w:w="9844" w:type="dxa"/>
            <w:vMerge w:val="restart"/>
            <w:shd w:val="clear" w:color="auto" w:fill="auto"/>
            <w:noWrap/>
            <w:vAlign w:val="center"/>
          </w:tcPr>
          <w:p w:rsidR="00F67295" w:rsidRPr="00753892" w:rsidRDefault="00EB7259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 Formblatt hinterlegte Formeln</w:t>
            </w:r>
          </w:p>
          <w:p w:rsidR="00F67295" w:rsidRPr="00753892" w:rsidRDefault="00F67295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F67295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F67295" w:rsidRPr="00F67295" w:rsidRDefault="00F67295" w:rsidP="00E06227">
            <w:pPr>
              <w:rPr>
                <w:rFonts w:ascii="Arial Narrow" w:hAnsi="Arial Narrow"/>
                <w:b/>
              </w:rPr>
            </w:pPr>
            <w:r w:rsidRPr="00F67295">
              <w:rPr>
                <w:rFonts w:ascii="Arial Narrow" w:hAnsi="Arial Narrow"/>
                <w:b/>
              </w:rPr>
              <w:t>ggf. verbleibender Wertausgleich zu Lasten der Gemeinde</w:t>
            </w:r>
          </w:p>
          <w:p w:rsidR="00F67295" w:rsidRPr="006135FB" w:rsidRDefault="00F67295" w:rsidP="00E06227">
            <w:pPr>
              <w:rPr>
                <w:rFonts w:ascii="Arial Narrow" w:hAnsi="Arial Narrow"/>
                <w:b/>
              </w:rPr>
            </w:pPr>
          </w:p>
        </w:tc>
        <w:tc>
          <w:tcPr>
            <w:tcW w:w="9844" w:type="dxa"/>
            <w:vMerge/>
            <w:shd w:val="clear" w:color="auto" w:fill="auto"/>
            <w:noWrap/>
          </w:tcPr>
          <w:p w:rsidR="00F67295" w:rsidRDefault="00F67295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F67295" w:rsidRPr="00753892" w:rsidTr="00F17AC4">
        <w:trPr>
          <w:trHeight w:val="255"/>
        </w:trPr>
        <w:tc>
          <w:tcPr>
            <w:tcW w:w="5055" w:type="dxa"/>
            <w:shd w:val="clear" w:color="auto" w:fill="auto"/>
            <w:noWrap/>
          </w:tcPr>
          <w:p w:rsidR="00F67295" w:rsidRPr="006135FB" w:rsidRDefault="00F67295" w:rsidP="00E06227">
            <w:pPr>
              <w:rPr>
                <w:rFonts w:ascii="Arial Narrow" w:hAnsi="Arial Narrow"/>
                <w:b/>
              </w:rPr>
            </w:pPr>
            <w:r w:rsidRPr="006135FB">
              <w:rPr>
                <w:rFonts w:ascii="Arial Narrow" w:hAnsi="Arial Narrow"/>
                <w:b/>
              </w:rPr>
              <w:t>Summe der Ausgaben</w:t>
            </w:r>
          </w:p>
        </w:tc>
        <w:tc>
          <w:tcPr>
            <w:tcW w:w="9844" w:type="dxa"/>
            <w:vMerge/>
            <w:shd w:val="clear" w:color="auto" w:fill="auto"/>
            <w:noWrap/>
          </w:tcPr>
          <w:p w:rsidR="00F67295" w:rsidRPr="00753892" w:rsidRDefault="00F67295" w:rsidP="00E0249F">
            <w:pPr>
              <w:jc w:val="both"/>
              <w:rPr>
                <w:rFonts w:ascii="Arial Narrow" w:hAnsi="Arial Narrow"/>
              </w:rPr>
            </w:pPr>
          </w:p>
        </w:tc>
      </w:tr>
      <w:tr w:rsidR="00F67295" w:rsidRPr="00753892" w:rsidTr="00F17AC4">
        <w:trPr>
          <w:trHeight w:val="405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0858" w:rsidRDefault="00F67295" w:rsidP="00E06227">
            <w:pPr>
              <w:rPr>
                <w:rFonts w:ascii="Arial Narrow" w:hAnsi="Arial Narrow"/>
                <w:b/>
              </w:rPr>
            </w:pPr>
            <w:r w:rsidRPr="00F67295">
              <w:rPr>
                <w:rFonts w:ascii="Arial Narrow" w:hAnsi="Arial Narrow"/>
                <w:b/>
              </w:rPr>
              <w:t>ggf. verbleibender Überschuss</w:t>
            </w:r>
          </w:p>
          <w:p w:rsidR="00720858" w:rsidRDefault="00720858" w:rsidP="00E06227">
            <w:pPr>
              <w:rPr>
                <w:rFonts w:ascii="Arial Narrow" w:hAnsi="Arial Narrow"/>
                <w:b/>
              </w:rPr>
            </w:pPr>
          </w:p>
          <w:p w:rsidR="00720858" w:rsidRPr="00720858" w:rsidRDefault="00720858" w:rsidP="00E06227">
            <w:pPr>
              <w:rPr>
                <w:rFonts w:ascii="Arial Narrow" w:hAnsi="Arial Narrow"/>
                <w:b/>
                <w:i/>
                <w:color w:val="339966"/>
              </w:rPr>
            </w:pPr>
          </w:p>
        </w:tc>
        <w:tc>
          <w:tcPr>
            <w:tcW w:w="98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67295" w:rsidRPr="00753892" w:rsidRDefault="00F67295" w:rsidP="00E024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Der aus der Differenz zwischen Einnahmen und Ausgaben </w:t>
            </w:r>
            <w:r w:rsidR="00DD72D5">
              <w:rPr>
                <w:rFonts w:ascii="Arial Narrow" w:hAnsi="Arial Narrow"/>
              </w:rPr>
              <w:t>ggf.</w:t>
            </w:r>
            <w:r>
              <w:rPr>
                <w:rFonts w:ascii="Arial Narrow" w:hAnsi="Arial Narrow"/>
              </w:rPr>
              <w:t xml:space="preserve"> entstehende Überschuss ist </w:t>
            </w:r>
            <w:r w:rsidR="00E11BB2" w:rsidRPr="00FE5E64">
              <w:rPr>
                <w:rFonts w:ascii="Arial Narrow" w:hAnsi="Arial Narrow"/>
              </w:rPr>
              <w:t>gemäß der Anteil</w:t>
            </w:r>
            <w:r w:rsidR="00E11BB2" w:rsidRPr="00FE5E64">
              <w:rPr>
                <w:rFonts w:ascii="Arial Narrow" w:hAnsi="Arial Narrow"/>
              </w:rPr>
              <w:t>s</w:t>
            </w:r>
            <w:r w:rsidR="00E11BB2" w:rsidRPr="00FE5E64">
              <w:rPr>
                <w:rFonts w:ascii="Arial Narrow" w:hAnsi="Arial Narrow"/>
              </w:rPr>
              <w:t xml:space="preserve">finanzierung </w:t>
            </w:r>
            <w:r w:rsidRPr="00FE5E64">
              <w:rPr>
                <w:rFonts w:ascii="Arial Narrow" w:hAnsi="Arial Narrow"/>
              </w:rPr>
              <w:t>zurückzuzahlen. Sollte sich ein negativer Betrag ergeben, bedeutet dies, d</w:t>
            </w:r>
            <w:r>
              <w:rPr>
                <w:rFonts w:ascii="Arial Narrow" w:hAnsi="Arial Narrow"/>
              </w:rPr>
              <w:t xml:space="preserve">ass diese Ausgaben mit </w:t>
            </w:r>
            <w:r w:rsidR="00DD72D5">
              <w:rPr>
                <w:rFonts w:ascii="Arial Narrow" w:hAnsi="Arial Narrow"/>
              </w:rPr>
              <w:t>Eigenmitteln</w:t>
            </w:r>
            <w:r>
              <w:rPr>
                <w:rFonts w:ascii="Arial Narrow" w:hAnsi="Arial Narrow"/>
              </w:rPr>
              <w:t xml:space="preserve"> der Stadt/Gemeinde finanziert wurden.</w:t>
            </w:r>
          </w:p>
        </w:tc>
      </w:tr>
    </w:tbl>
    <w:p w:rsidR="00753892" w:rsidRPr="009B091D" w:rsidRDefault="00753892">
      <w:pPr>
        <w:rPr>
          <w:rFonts w:ascii="Arial Narrow" w:hAnsi="Arial Narrow"/>
        </w:rPr>
      </w:pPr>
    </w:p>
    <w:sectPr w:rsidR="00753892" w:rsidRPr="009B091D" w:rsidSect="009D3A9C">
      <w:footerReference w:type="default" r:id="rId8"/>
      <w:footerReference w:type="first" r:id="rId9"/>
      <w:pgSz w:w="16838" w:h="11906" w:orient="landscape" w:code="9"/>
      <w:pgMar w:top="1418" w:right="45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FF" w:rsidRDefault="00B151FF">
      <w:r>
        <w:separator/>
      </w:r>
    </w:p>
  </w:endnote>
  <w:endnote w:type="continuationSeparator" w:id="0">
    <w:p w:rsidR="00B151FF" w:rsidRDefault="00B1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4" w:rsidRDefault="009D1874" w:rsidP="003716F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4" w:rsidRDefault="00D850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9372600</wp:posOffset>
              </wp:positionH>
              <wp:positionV relativeFrom="paragraph">
                <wp:posOffset>-205105</wp:posOffset>
              </wp:positionV>
              <wp:extent cx="3429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874" w:rsidRPr="003716F3" w:rsidRDefault="009D1874" w:rsidP="009D3A9C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3716F3">
                            <w:rPr>
                              <w:rFonts w:ascii="Arial Narrow" w:hAnsi="Arial Narrow"/>
                              <w:b/>
                            </w:rPr>
                            <w:t>Anlage 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8pt;margin-top:-16.15pt;width:2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" stroked="f">
              <v:textbox style="layout-flow:vertical">
                <w:txbxContent>
                  <w:p w:rsidR="009D1874" w:rsidRPr="003716F3" w:rsidRDefault="009D1874" w:rsidP="009D3A9C">
                    <w:pPr>
                      <w:rPr>
                        <w:rFonts w:ascii="Arial Narrow" w:hAnsi="Arial Narrow"/>
                        <w:b/>
                      </w:rPr>
                    </w:pPr>
                    <w:r w:rsidRPr="003716F3">
                      <w:rPr>
                        <w:rFonts w:ascii="Arial Narrow" w:hAnsi="Arial Narrow"/>
                        <w:b/>
                      </w:rPr>
                      <w:t>Anlage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FF" w:rsidRDefault="00B151FF">
      <w:r>
        <w:separator/>
      </w:r>
    </w:p>
  </w:footnote>
  <w:footnote w:type="continuationSeparator" w:id="0">
    <w:p w:rsidR="00B151FF" w:rsidRDefault="00B1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882"/>
    <w:multiLevelType w:val="multilevel"/>
    <w:tmpl w:val="D32E1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B20"/>
    <w:multiLevelType w:val="hybridMultilevel"/>
    <w:tmpl w:val="CC2C59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3267F"/>
    <w:multiLevelType w:val="hybridMultilevel"/>
    <w:tmpl w:val="167A8BC0"/>
    <w:lvl w:ilvl="0" w:tplc="0407000B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30888"/>
    <w:multiLevelType w:val="hybridMultilevel"/>
    <w:tmpl w:val="EE84CDDA"/>
    <w:lvl w:ilvl="0" w:tplc="02749F5A">
      <w:start w:val="1"/>
      <w:numFmt w:val="lowerLetter"/>
      <w:pStyle w:val="V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C0134"/>
    <w:multiLevelType w:val="hybridMultilevel"/>
    <w:tmpl w:val="D32E1FB4"/>
    <w:lvl w:ilvl="0" w:tplc="D64A85D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A137E"/>
    <w:multiLevelType w:val="hybridMultilevel"/>
    <w:tmpl w:val="8258EC5C"/>
    <w:lvl w:ilvl="0" w:tplc="A08C81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1D"/>
    <w:rsid w:val="00012346"/>
    <w:rsid w:val="00027040"/>
    <w:rsid w:val="0003260E"/>
    <w:rsid w:val="00052725"/>
    <w:rsid w:val="00065E2F"/>
    <w:rsid w:val="000B55C0"/>
    <w:rsid w:val="000C7E94"/>
    <w:rsid w:val="000D2495"/>
    <w:rsid w:val="000F6AAF"/>
    <w:rsid w:val="0011017D"/>
    <w:rsid w:val="0013755F"/>
    <w:rsid w:val="001709D7"/>
    <w:rsid w:val="0019476E"/>
    <w:rsid w:val="001976A4"/>
    <w:rsid w:val="001F4873"/>
    <w:rsid w:val="002250CF"/>
    <w:rsid w:val="00287DC9"/>
    <w:rsid w:val="002B120D"/>
    <w:rsid w:val="002B19FF"/>
    <w:rsid w:val="002B427C"/>
    <w:rsid w:val="002D02D7"/>
    <w:rsid w:val="002D156B"/>
    <w:rsid w:val="002E2CEE"/>
    <w:rsid w:val="00324070"/>
    <w:rsid w:val="00336440"/>
    <w:rsid w:val="003369EC"/>
    <w:rsid w:val="00356C69"/>
    <w:rsid w:val="003716F3"/>
    <w:rsid w:val="00374675"/>
    <w:rsid w:val="00393F0D"/>
    <w:rsid w:val="003C0ADE"/>
    <w:rsid w:val="003C2740"/>
    <w:rsid w:val="003E2BAB"/>
    <w:rsid w:val="004455B8"/>
    <w:rsid w:val="004849C7"/>
    <w:rsid w:val="00492BE4"/>
    <w:rsid w:val="005213F5"/>
    <w:rsid w:val="00522C88"/>
    <w:rsid w:val="00564C81"/>
    <w:rsid w:val="00595341"/>
    <w:rsid w:val="005A6692"/>
    <w:rsid w:val="005B1A16"/>
    <w:rsid w:val="005D155D"/>
    <w:rsid w:val="005D7E95"/>
    <w:rsid w:val="006135FB"/>
    <w:rsid w:val="006141BB"/>
    <w:rsid w:val="00673D41"/>
    <w:rsid w:val="006952A2"/>
    <w:rsid w:val="006B5595"/>
    <w:rsid w:val="007148A9"/>
    <w:rsid w:val="007167F1"/>
    <w:rsid w:val="00720858"/>
    <w:rsid w:val="0073609D"/>
    <w:rsid w:val="00753892"/>
    <w:rsid w:val="007A13A4"/>
    <w:rsid w:val="007C3DC9"/>
    <w:rsid w:val="008144DA"/>
    <w:rsid w:val="008210A0"/>
    <w:rsid w:val="008263C4"/>
    <w:rsid w:val="008834ED"/>
    <w:rsid w:val="008908C8"/>
    <w:rsid w:val="008C6A14"/>
    <w:rsid w:val="008D3296"/>
    <w:rsid w:val="008D460E"/>
    <w:rsid w:val="008E3605"/>
    <w:rsid w:val="00915E83"/>
    <w:rsid w:val="009751F2"/>
    <w:rsid w:val="00976507"/>
    <w:rsid w:val="00996008"/>
    <w:rsid w:val="009B091D"/>
    <w:rsid w:val="009D1874"/>
    <w:rsid w:val="009D3A9C"/>
    <w:rsid w:val="009F22C5"/>
    <w:rsid w:val="00A302EE"/>
    <w:rsid w:val="00A80839"/>
    <w:rsid w:val="00A972E8"/>
    <w:rsid w:val="00AA76D5"/>
    <w:rsid w:val="00AB7BDA"/>
    <w:rsid w:val="00AC54F3"/>
    <w:rsid w:val="00AD78EF"/>
    <w:rsid w:val="00AF59B5"/>
    <w:rsid w:val="00B03EEA"/>
    <w:rsid w:val="00B0763B"/>
    <w:rsid w:val="00B151FF"/>
    <w:rsid w:val="00B26895"/>
    <w:rsid w:val="00B374ED"/>
    <w:rsid w:val="00B754E4"/>
    <w:rsid w:val="00B87689"/>
    <w:rsid w:val="00BA6601"/>
    <w:rsid w:val="00BD601B"/>
    <w:rsid w:val="00C03D5C"/>
    <w:rsid w:val="00C16CF7"/>
    <w:rsid w:val="00C56D73"/>
    <w:rsid w:val="00C85B93"/>
    <w:rsid w:val="00D01B51"/>
    <w:rsid w:val="00D235C1"/>
    <w:rsid w:val="00D45566"/>
    <w:rsid w:val="00D47ECE"/>
    <w:rsid w:val="00D76BA8"/>
    <w:rsid w:val="00D81DEA"/>
    <w:rsid w:val="00D838C1"/>
    <w:rsid w:val="00D850F8"/>
    <w:rsid w:val="00D91D44"/>
    <w:rsid w:val="00D95B05"/>
    <w:rsid w:val="00DD37F6"/>
    <w:rsid w:val="00DD72D5"/>
    <w:rsid w:val="00E0249F"/>
    <w:rsid w:val="00E06227"/>
    <w:rsid w:val="00E11BB2"/>
    <w:rsid w:val="00E25BB3"/>
    <w:rsid w:val="00E80861"/>
    <w:rsid w:val="00E90BC1"/>
    <w:rsid w:val="00EB7259"/>
    <w:rsid w:val="00EE6824"/>
    <w:rsid w:val="00F17AC4"/>
    <w:rsid w:val="00F26738"/>
    <w:rsid w:val="00F60C2B"/>
    <w:rsid w:val="00F67295"/>
    <w:rsid w:val="00FA4C8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AA9BAD-5869-4C4F-AF1E-B42ECC0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AF59B5"/>
    <w:rPr>
      <w:b/>
      <w:bCs/>
    </w:rPr>
  </w:style>
  <w:style w:type="character" w:styleId="Hyperlink">
    <w:name w:val="Hyperlink"/>
    <w:rsid w:val="00B03EEA"/>
    <w:rPr>
      <w:color w:val="0000FF"/>
      <w:u w:val="single"/>
    </w:rPr>
  </w:style>
  <w:style w:type="character" w:styleId="BesuchterHyperlink">
    <w:name w:val="BesuchterHyperlink"/>
    <w:rsid w:val="00B03EEA"/>
    <w:rPr>
      <w:color w:val="800080"/>
      <w:u w:val="single"/>
    </w:rPr>
  </w:style>
  <w:style w:type="paragraph" w:styleId="Sprechblasentext">
    <w:name w:val="Balloon Text"/>
    <w:basedOn w:val="Standard"/>
    <w:semiHidden/>
    <w:rsid w:val="00673D41"/>
    <w:rPr>
      <w:rFonts w:ascii="Tahoma" w:hAnsi="Tahoma" w:cs="Tahoma"/>
      <w:sz w:val="16"/>
      <w:szCs w:val="16"/>
    </w:rPr>
  </w:style>
  <w:style w:type="paragraph" w:customStyle="1" w:styleId="VPunkt">
    <w:name w:val="V_Punkt"/>
    <w:basedOn w:val="Standard"/>
    <w:rsid w:val="00673D41"/>
    <w:pPr>
      <w:numPr>
        <w:numId w:val="6"/>
      </w:numPr>
    </w:pPr>
  </w:style>
  <w:style w:type="paragraph" w:customStyle="1" w:styleId="typnurtextabst3">
    <w:name w:val="_typ_nurtext   abst3"/>
    <w:basedOn w:val="Standard"/>
    <w:rsid w:val="002D02D7"/>
    <w:pPr>
      <w:spacing w:before="100" w:beforeAutospacing="1" w:after="100" w:afterAutospacing="1"/>
    </w:pPr>
  </w:style>
  <w:style w:type="paragraph" w:styleId="Kopfzeile">
    <w:name w:val="header"/>
    <w:basedOn w:val="Standard"/>
    <w:rsid w:val="001375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55F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7A13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13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13A4"/>
  </w:style>
  <w:style w:type="paragraph" w:styleId="Kommentarthema">
    <w:name w:val="annotation subject"/>
    <w:basedOn w:val="Kommentartext"/>
    <w:next w:val="Kommentartext"/>
    <w:link w:val="KommentarthemaZchn"/>
    <w:rsid w:val="007A13A4"/>
    <w:rPr>
      <w:b/>
      <w:bCs/>
    </w:rPr>
  </w:style>
  <w:style w:type="character" w:customStyle="1" w:styleId="KommentarthemaZchn">
    <w:name w:val="Kommentarthema Zchn"/>
    <w:link w:val="Kommentarthema"/>
    <w:rsid w:val="007A1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7226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08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5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ndesfinanz-minister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8312</Characters>
  <Application>Microsoft Office Word</Application>
  <DocSecurity>0</DocSecurity>
  <Lines>184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zum Ausfüllen des Formblattes Schlussabrechung</vt:lpstr>
    </vt:vector>
  </TitlesOfParts>
  <Company>LBV</Company>
  <LinksUpToDate>false</LinksUpToDate>
  <CharactersWithSpaces>9328</CharactersWithSpaces>
  <SharedDoc>false</SharedDoc>
  <HLinks>
    <vt:vector size="6" baseType="variant">
      <vt:variant>
        <vt:i4>3211317</vt:i4>
      </vt:variant>
      <vt:variant>
        <vt:i4>0</vt:i4>
      </vt:variant>
      <vt:variant>
        <vt:i4>0</vt:i4>
      </vt:variant>
      <vt:variant>
        <vt:i4>5</vt:i4>
      </vt:variant>
      <vt:variant>
        <vt:lpwstr>http://www.bundesfinanz-ministerium.de/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zum Ausfüllen des Formblattes Schlussabrechung</dc:title>
  <dc:subject/>
  <dc:creator>kobel</dc:creator>
  <cp:keywords/>
  <cp:lastModifiedBy>Nakonz, Ramona</cp:lastModifiedBy>
  <cp:revision>2</cp:revision>
  <cp:lastPrinted>2013-03-19T05:54:00Z</cp:lastPrinted>
  <dcterms:created xsi:type="dcterms:W3CDTF">2021-08-17T14:27:00Z</dcterms:created>
  <dcterms:modified xsi:type="dcterms:W3CDTF">2021-08-17T14:27:00Z</dcterms:modified>
</cp:coreProperties>
</file>